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10, 2026</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2026, Wynn Resorts, Limited (“Wynn Resorts”) announced the pricing by Wynn Resorts Finance, LLC (“Wynn Resorts Finance”) and its subsidiary, Wynn Resorts Capital Corp., each an indirect wholly-owned subsidiary of Wynn Resorts, of $900 million aggregate principal amount of 6.875% Senior Notes due 2035 (the “Notes”). A copy of the press release is attached hereto as Exhibit 99.1 and is hereby incorporated by reference.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4"/>
        <w:gridCol w:w="2634"/>
        <w:gridCol w:w="377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f900mseniornotespr.htm">
              <w:r>
                <w:rPr>
                  <w:rStyle w:val="InternetLink"/>
                  <w:rFonts w:ascii="Times New Roman;serif" w:hAnsi="Times New Roman;serif"/>
                  <w:b w:val="false"/>
                  <w:color w:val="000080"/>
                  <w:sz w:val="20"/>
                  <w:u w:val="single"/>
                </w:rPr>
                <w:t xml:space="preserve">Press release, dated </w:t>
              </w:r>
            </w:hyperlink>
            <w:hyperlink w:anchor="ex991-wrf900mseniornotespr.htm">
              <w:r>
                <w:rPr>
                  <w:rStyle w:val="InternetLink"/>
                  <w:rFonts w:ascii="Times New Roman;serif" w:hAnsi="Times New Roman;serif"/>
                  <w:b w:val="false"/>
                  <w:color w:val="000080"/>
                  <w:sz w:val="20"/>
                  <w:u w:val="single"/>
                </w:rPr>
                <w:t>September 10, 2026</w:t>
              </w:r>
            </w:hyperlink>
            <w:hyperlink w:anchor="ex991-wrf900mseniornotespr.htm">
              <w:r>
                <w:rPr>
                  <w:rStyle w:val="InternetLink"/>
                  <w:rFonts w:ascii="Times New Roman;serif" w:hAnsi="Times New Roman;serif"/>
                  <w:b w:val="false"/>
                  <w:color w:val="000080"/>
                  <w:sz w:val="20"/>
                  <w:u w:val="single"/>
                </w:rPr>
                <w:t>,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50" w:type="dxa"/>
        <w:jc w:val="left"/>
        <w:tblInd w:w="0" w:type="dxa"/>
        <w:tblLayout w:type="fixed"/>
        <w:tblCellMar>
          <w:top w:w="28" w:type="dxa"/>
          <w:left w:w="28" w:type="dxa"/>
          <w:bottom w:w="28" w:type="dxa"/>
          <w:right w:w="28" w:type="dxa"/>
        </w:tblCellMar>
      </w:tblPr>
      <w:tblGrid>
        <w:gridCol w:w="254"/>
        <w:gridCol w:w="224"/>
        <w:gridCol w:w="226"/>
        <w:gridCol w:w="574"/>
        <w:gridCol w:w="574"/>
        <w:gridCol w:w="576"/>
        <w:gridCol w:w="109"/>
        <w:gridCol w:w="109"/>
        <w:gridCol w:w="109"/>
        <w:gridCol w:w="134"/>
        <w:gridCol w:w="134"/>
        <w:gridCol w:w="136"/>
        <w:gridCol w:w="109"/>
        <w:gridCol w:w="109"/>
        <w:gridCol w:w="109"/>
        <w:gridCol w:w="1102"/>
        <w:gridCol w:w="1102"/>
        <w:gridCol w:w="1560"/>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J. Fullalove </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1" w:before="0" w:after="0"/>
        <w:jc w:val="left"/>
        <w:rPr>
          <w:rFonts w:ascii="Times New Roman;serif" w:hAnsi="Times New Roman;serif"/>
          <w:b/>
          <w:color w:val="000000"/>
          <w:sz w:val="20"/>
        </w:rPr>
      </w:pPr>
      <w:r>
        <w:rPr>
          <w:rFonts w:ascii="Times New Roman;serif" w:hAnsi="Times New Roman;serif"/>
          <w:b/>
          <w:color w:val="000000"/>
          <w:sz w:val="20"/>
        </w:rPr>
        <w:t>Wynn Resorts Announces Pricing of Private Offering of $900 Million of Wynn Resorts Finance 6.875% Senior Notes due 2035</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LAS VEGAS, September 10, 2026 /PRNewswire/ -- Wynn Resorts, Limited (NASDAQ: WYNN) (“Wynn Resorts”) announced today the pricing by Wynn Resorts Finance, LLC (“Wynn Resorts Finance”) and its subsidiary Wynn Resorts Capital Corp. (“Wynn Resorts Capital” and, together with Wynn Resorts Finance, the “Issuers”), each an indirect wholly-owned subsidiary of Wynn Resorts, of $900 million aggregate principal amount of 6.875% Senior Notes due 2035 (the “Notes”) in a private offering. The offering is expected to close on or about September 22, 2026, subject to customary closing conditions.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Wynn Resorts Finance plans to contribute and/or lend the net proceeds from the offering, together with cash on hand, to its subsidiary, Wynn Las Vegas, LLC (“Wynn Las Vegas”), who will use the amounts to (i) redeem in full Wynn Las Vegas and Wynn Las Vegas Capital Corp.’s 5.250% Senior Notes due 2027 (the “2027 WLV Notes”) and (ii) pay fees and expenses related to the issuance of the Notes and the redemption of the 2027 WLV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Las Vegas intends to redeem all of the outstanding 2027 WLV Notes on or after the closing of this offering. This press release does not constitute a notice of redemption or an offer to purchase or the solicitation of an offer to sell such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geopolitical conflicts,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2025, as supplemented by Wynn Resorts’ other periodic reports filed with the Securities and Exchange Commission from time to time. Neither Wynn Resorts nor the Issuers are under any obligation to (and expressly disclaim any such obligation to) update or revise their forward-looking statements as a result of new information, future events or otherwise,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SOURCE: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Wynn Resorts,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Lauren Seiler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702-770-7555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investorrelations@wynnresorts.com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1374</Words>
  <Characters>7553</Characters>
  <CharactersWithSpaces>8908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