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-220345</wp:posOffset>
            </wp:positionV>
            <wp:extent cx="3319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720"/>
        <w:spacing w:after="0"/>
        <w:tabs>
          <w:tab w:leader="none" w:pos="3500" w:val="left"/>
        </w:tabs>
        <w:rPr>
          <w:sz w:val="20"/>
          <w:szCs w:val="20"/>
          <w:color w:val="auto"/>
        </w:rPr>
      </w:pPr>
      <w:r>
        <w:rPr>
          <w:rFonts w:ascii="Times New Roman" w:cs="Times New Roman" w:eastAsia="Times New Roman" w:hAnsi="Times New Roman"/>
          <w:sz w:val="18"/>
          <w:szCs w:val="18"/>
          <w:b w:val="1"/>
          <w:bCs w:val="1"/>
          <w:color w:val="auto"/>
        </w:rPr>
        <w:t>For the transition period</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-5080</wp:posOffset>
            </wp:positionV>
            <wp:extent cx="126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80"/>
          </w:cols>
          <w:pgMar w:left="240" w:top="225" w:right="27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3"/>
          <w:szCs w:val="13"/>
          <w:b w:val="1"/>
          <w:bCs w:val="1"/>
          <w:color w:val="auto"/>
        </w:rPr>
        <w:t>EVADA</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46-0484987</w:t>
      </w:r>
    </w:p>
    <w:p>
      <w:pPr>
        <w:spacing w:after="0" w:line="72" w:lineRule="exact"/>
        <w:rPr>
          <w:sz w:val="24"/>
          <w:szCs w:val="24"/>
          <w:color w:val="auto"/>
        </w:rPr>
      </w:pPr>
    </w:p>
    <w:p>
      <w:pPr>
        <w:sectPr>
          <w:pgSz w:w="11900" w:h="16838" w:orient="portrait"/>
          <w:cols w:equalWidth="0" w:num="2">
            <w:col w:w="7520" w:space="720"/>
            <w:col w:w="3140"/>
          </w:cols>
          <w:pgMar w:left="240" w:top="225" w:right="27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53" w:lineRule="exact"/>
        <w:rPr>
          <w:sz w:val="24"/>
          <w:szCs w:val="24"/>
          <w:color w:val="auto"/>
        </w:rPr>
      </w:pPr>
    </w:p>
    <w:p>
      <w:pPr>
        <w:sectPr>
          <w:pgSz w:w="11900" w:h="16838" w:orient="portrait"/>
          <w:cols w:equalWidth="0" w:num="2">
            <w:col w:w="7240" w:space="720"/>
            <w:col w:w="3420"/>
          </w:cols>
          <w:pgMar w:left="240" w:top="225"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3131 Las Vegas Boulevard South—Las Vegas, Nevada 89109</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80"/>
          </w:cols>
          <w:pgMar w:left="240" w:top="225" w:right="279" w:bottom="1440" w:gutter="0" w:footer="0" w:header="0"/>
          <w:type w:val="continuous"/>
        </w:sectPr>
      </w:pPr>
    </w:p>
    <w:p>
      <w:pPr>
        <w:spacing w:after="0" w:line="236"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2">
            <w:col w:w="6540" w:space="720"/>
            <w:col w:w="4120"/>
          </w:cols>
          <w:pgMar w:left="240" w:top="225" w:right="279" w:bottom="1440" w:gutter="0" w:footer="0" w:header="0"/>
          <w:type w:val="continuous"/>
        </w:sectPr>
      </w:pPr>
    </w:p>
    <w:p>
      <w:pPr>
        <w:ind w:left="3520" w:right="1580" w:hanging="1938"/>
        <w:spacing w:after="0" w:line="340" w:lineRule="auto"/>
        <w:rPr>
          <w:sz w:val="20"/>
          <w:szCs w:val="20"/>
          <w:color w:val="auto"/>
        </w:rPr>
      </w:pPr>
      <w:r>
        <w:rPr>
          <w:rFonts w:ascii="Times New Roman" w:cs="Times New Roman" w:eastAsia="Times New Roman" w:hAnsi="Times New Roman"/>
          <w:sz w:val="18"/>
          <w:szCs w:val="18"/>
          <w:b w:val="1"/>
          <w:bCs w:val="1"/>
          <w:color w:val="auto"/>
        </w:rPr>
        <w:t>Common Stock, $0.01 par value</w:t>
      </w:r>
      <w:r>
        <w:rPr>
          <w:sz w:val="20"/>
          <w:szCs w:val="20"/>
          <w:color w:val="auto"/>
        </w:rPr>
        <w:t xml:space="preserve"> </w:t>
      </w:r>
      <w:r>
        <w:rPr>
          <w:rFonts w:ascii="Times New Roman" w:cs="Times New Roman" w:eastAsia="Times New Roman" w:hAnsi="Times New Roman"/>
          <w:sz w:val="18"/>
          <w:szCs w:val="18"/>
          <w:b w:val="1"/>
          <w:bCs w:val="1"/>
          <w:color w:val="auto"/>
        </w:rPr>
        <w:t>Nasdaq Global Select Market Securities registered pursuant to Section 12(g) of the Act: None</w:t>
      </w:r>
    </w:p>
    <w:p>
      <w:pPr>
        <w:sectPr>
          <w:pgSz w:w="11900" w:h="16838" w:orient="portrait"/>
          <w:cols w:equalWidth="0" w:num="1">
            <w:col w:w="11380"/>
          </w:cols>
          <w:pgMar w:left="240" w:top="225" w:right="279" w:bottom="1440" w:gutter="0" w:footer="0" w:header="0"/>
          <w:type w:val="continuous"/>
        </w:sectPr>
      </w:pPr>
    </w:p>
    <w:p>
      <w:pPr>
        <w:spacing w:after="0" w:line="20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9440" w:space="160"/>
            <w:col w:w="260" w:space="100"/>
            <w:col w:w="160" w:space="180"/>
            <w:col w:w="220" w:space="80"/>
            <w:col w:w="780"/>
          </w:cols>
          <w:pgMar w:left="240" w:top="225" w:right="279" w:bottom="1440" w:gutter="0" w:footer="0" w:header="0"/>
          <w:type w:val="continuous"/>
        </w:sectPr>
      </w:pPr>
    </w:p>
    <w:p>
      <w:pPr>
        <w:spacing w:after="0" w:line="1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ectPr>
          <w:pgSz w:w="11900" w:h="16838" w:orient="portrait"/>
          <w:cols w:equalWidth="0" w:num="5">
            <w:col w:w="9600" w:space="160"/>
            <w:col w:w="260" w:space="100"/>
            <w:col w:w="160" w:space="180"/>
            <w:col w:w="220" w:space="100"/>
            <w:col w:w="600"/>
          </w:cols>
          <w:pgMar w:left="240" w:top="225" w:right="279" w:bottom="1440" w:gutter="0" w:footer="0" w:header="0"/>
          <w:type w:val="continuous"/>
        </w:sectPr>
      </w:pPr>
    </w:p>
    <w:p>
      <w:pPr>
        <w:jc w:val="both"/>
        <w:ind w:firstLine="97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40" w:firstLine="97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20" w:firstLine="97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 w:lineRule="exact"/>
        <w:rPr>
          <w:sz w:val="24"/>
          <w:szCs w:val="24"/>
          <w:color w:val="auto"/>
        </w:rPr>
      </w:pPr>
    </w:p>
    <w:p>
      <w:pPr>
        <w:ind w:right="420" w:firstLine="972"/>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type w:val="continuous"/>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440"/>
            <w:col w:w="5560" w:space="720"/>
            <w:col w:w="2000" w:space="720"/>
            <w:col w:w="280"/>
          </w:cols>
          <w:pgMar w:left="240" w:top="225" w:right="279" w:bottom="144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1560" w:space="540"/>
            <w:col w:w="5560" w:space="720"/>
            <w:col w:w="2000" w:space="720"/>
            <w:col w:w="280"/>
          </w:cols>
          <w:pgMar w:left="240" w:top="225" w:right="279" w:bottom="1440" w:gutter="0" w:footer="0" w:header="0"/>
          <w:type w:val="continuous"/>
        </w:sectPr>
      </w:pPr>
    </w:p>
    <w:p>
      <w:pPr>
        <w:spacing w:after="0" w:line="2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5">
            <w:col w:w="9160" w:space="180"/>
            <w:col w:w="260" w:space="80"/>
            <w:col w:w="160" w:space="180"/>
            <w:col w:w="220" w:space="100"/>
            <w:col w:w="1040"/>
          </w:cols>
          <w:pgMar w:left="240" w:top="225" w:right="279" w:bottom="1440" w:gutter="0" w:footer="0" w:header="0"/>
          <w:type w:val="continuous"/>
        </w:sectPr>
      </w:pPr>
    </w:p>
    <w:p>
      <w:pPr>
        <w:ind w:right="20" w:firstLine="972"/>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based on the closing price as reported on the NASDAQ Global Select Market on June 30, 2016 was approximately $7.18 billion.</w:t>
      </w:r>
    </w:p>
    <w:p>
      <w:pPr>
        <w:spacing w:after="0" w:line="2"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February 15, 2017, 101,925,222 shares of the registrant's Common Stock, $0.01 par value, were outstanding.</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4"/>
          <w:szCs w:val="24"/>
          <w:color w:val="auto"/>
        </w:rPr>
      </w:pPr>
    </w:p>
    <w:p>
      <w:pPr>
        <w:ind w:right="140" w:firstLine="972"/>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its 2017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380"/>
          </w:cols>
          <w:pgMar w:left="240" w:top="22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80" w:type="dxa"/>
            <w:vAlign w:val="bottom"/>
            <w:gridSpan w:val="30"/>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320" w:type="dxa"/>
            <w:vAlign w:val="bottom"/>
          </w:tcPr>
          <w:p>
            <w:pPr>
              <w:spacing w:after="0"/>
              <w:rPr>
                <w:sz w:val="13"/>
                <w:szCs w:val="13"/>
                <w:color w:val="auto"/>
              </w:rPr>
            </w:pPr>
          </w:p>
        </w:tc>
      </w:tr>
      <w:tr>
        <w:trPr>
          <w:trHeight w:val="444"/>
        </w:trPr>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8"/>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13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40" w:type="dxa"/>
            <w:vAlign w:val="bottom"/>
            <w:gridSpan w:val="14"/>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3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15"/>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2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gridSpan w:val="10"/>
          </w:tcPr>
          <w:p>
            <w:pPr>
              <w:jc w:val="center"/>
              <w:ind w:right="408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13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3820" w:type="dxa"/>
            <w:vAlign w:val="bottom"/>
            <w:gridSpan w:val="15"/>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080" w:type="dxa"/>
            <w:vAlign w:val="bottom"/>
            <w:gridSpan w:val="9"/>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Risk Factors</w:t>
              </w:r>
            </w:hyperlink>
          </w:p>
        </w:tc>
        <w:tc>
          <w:tcPr>
            <w:tcW w:w="8220" w:type="dxa"/>
            <w:vAlign w:val="bottom"/>
            <w:gridSpan w:val="23"/>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Unresolved Staff Comments</w:t>
              </w:r>
            </w:hyperlink>
          </w:p>
        </w:tc>
        <w:tc>
          <w:tcPr>
            <w:tcW w:w="7080" w:type="dxa"/>
            <w:vAlign w:val="bottom"/>
            <w:gridSpan w:val="18"/>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Properties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31</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Mine Safety Disclosures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11"/>
          </w:tcPr>
          <w:p>
            <w:pPr>
              <w:jc w:val="center"/>
              <w:ind w:right="4040"/>
              <w:spacing w:after="0"/>
              <w:rPr>
                <w:rFonts w:ascii="Times New Roman" w:cs="Times New Roman" w:eastAsia="Times New Roman" w:hAnsi="Times New Roman"/>
                <w:sz w:val="18"/>
                <w:szCs w:val="18"/>
                <w:b w:val="1"/>
                <w:bCs w:val="1"/>
                <w:color w:val="0000EE"/>
                <w:w w:val="97"/>
              </w:rPr>
            </w:pPr>
            <w:hyperlink w:anchor="page33">
              <w:r>
                <w:rPr>
                  <w:rFonts w:ascii="Times New Roman" w:cs="Times New Roman" w:eastAsia="Times New Roman" w:hAnsi="Times New Roman"/>
                  <w:sz w:val="18"/>
                  <w:szCs w:val="18"/>
                  <w:b w:val="1"/>
                  <w:bCs w:val="1"/>
                  <w:color w:val="0000EE"/>
                  <w:w w:val="97"/>
                </w:rPr>
                <w:t>PART II</w:t>
              </w:r>
            </w:hyperlink>
          </w:p>
        </w:tc>
        <w:tc>
          <w:tcPr>
            <w:tcW w:w="13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33</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Selected Financial Data</w:t>
              </w:r>
            </w:hyperlink>
          </w:p>
        </w:tc>
        <w:tc>
          <w:tcPr>
            <w:tcW w:w="1060" w:type="dxa"/>
            <w:vAlign w:val="bottom"/>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660" w:type="dxa"/>
            <w:vAlign w:val="bottom"/>
            <w:gridSpan w:val="4"/>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Quantitative and Qualitative Disclosures About Market Risk</w:t>
              </w:r>
            </w:hyperlink>
          </w:p>
        </w:tc>
        <w:tc>
          <w:tcPr>
            <w:tcW w:w="4760" w:type="dxa"/>
            <w:vAlign w:val="bottom"/>
            <w:gridSpan w:val="13"/>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Financial Statements and Supplementary Data</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116">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640" w:type="dxa"/>
            <w:vAlign w:val="bottom"/>
            <w:gridSpan w:val="3"/>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115</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Controls and Procedures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115</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Other Information</w:t>
              </w:r>
            </w:hyperlink>
          </w:p>
        </w:tc>
        <w:tc>
          <w:tcPr>
            <w:tcW w:w="7360" w:type="dxa"/>
            <w:vAlign w:val="bottom"/>
            <w:gridSpan w:val="20"/>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115</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gridSpan w:val="13"/>
          </w:tcPr>
          <w:p>
            <w:pPr>
              <w:jc w:val="center"/>
              <w:ind w:right="3960"/>
              <w:spacing w:after="0"/>
              <w:rPr>
                <w:rFonts w:ascii="Times New Roman" w:cs="Times New Roman" w:eastAsia="Times New Roman" w:hAnsi="Times New Roman"/>
                <w:sz w:val="18"/>
                <w:szCs w:val="18"/>
                <w:b w:val="1"/>
                <w:bCs w:val="1"/>
                <w:color w:val="0000EE"/>
                <w:w w:val="96"/>
              </w:rPr>
            </w:pPr>
            <w:hyperlink w:anchor="page117">
              <w:r>
                <w:rPr>
                  <w:rFonts w:ascii="Times New Roman" w:cs="Times New Roman" w:eastAsia="Times New Roman" w:hAnsi="Times New Roman"/>
                  <w:sz w:val="18"/>
                  <w:szCs w:val="18"/>
                  <w:b w:val="1"/>
                  <w:bCs w:val="1"/>
                  <w:color w:val="0000EE"/>
                  <w:w w:val="96"/>
                </w:rPr>
                <w:t>PART III</w:t>
              </w:r>
            </w:hyperlink>
          </w:p>
        </w:tc>
        <w:tc>
          <w:tcPr>
            <w:tcW w:w="1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400" w:type="dxa"/>
            <w:vAlign w:val="bottom"/>
            <w:gridSpan w:val="15"/>
          </w:tcPr>
          <w:p>
            <w:pPr>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Directors, Executive Officers and Corporate Governance</w:t>
              </w:r>
            </w:hyperlink>
          </w:p>
        </w:tc>
        <w:tc>
          <w:tcPr>
            <w:tcW w:w="740" w:type="dxa"/>
            <w:vAlign w:val="bottom"/>
            <w:tcBorders>
              <w:top w:val="single" w:sz="8" w:color="0000EE"/>
            </w:tcBorders>
            <w:gridSpan w:val="6"/>
          </w:tcPr>
          <w:p>
            <w:pPr>
              <w:spacing w:after="0"/>
              <w:rPr>
                <w:sz w:val="21"/>
                <w:szCs w:val="21"/>
                <w:color w:val="auto"/>
              </w:rPr>
            </w:pPr>
          </w:p>
        </w:tc>
        <w:tc>
          <w:tcPr>
            <w:tcW w:w="3980" w:type="dxa"/>
            <w:vAlign w:val="bottom"/>
            <w:gridSpan w:val="6"/>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17">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40" w:type="dxa"/>
            <w:vAlign w:val="bottom"/>
            <w:gridSpan w:val="14"/>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Principal Accountant Fees and Services</w:t>
              </w:r>
            </w:hyperlink>
          </w:p>
        </w:tc>
        <w:tc>
          <w:tcPr>
            <w:tcW w:w="3680" w:type="dxa"/>
            <w:vAlign w:val="bottom"/>
            <w:gridSpan w:val="5"/>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116</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5"/>
              </w:rPr>
            </w:pPr>
            <w:hyperlink w:anchor="page118">
              <w:r>
                <w:rPr>
                  <w:rFonts w:ascii="Times New Roman" w:cs="Times New Roman" w:eastAsia="Times New Roman" w:hAnsi="Times New Roman"/>
                  <w:sz w:val="18"/>
                  <w:szCs w:val="18"/>
                  <w:b w:val="1"/>
                  <w:bCs w:val="1"/>
                  <w:color w:val="0000EE"/>
                  <w:w w:val="95"/>
                </w:rPr>
                <w:t>PART IV</w:t>
              </w:r>
            </w:hyperlink>
          </w:p>
        </w:tc>
        <w:tc>
          <w:tcPr>
            <w:tcW w:w="40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Exhibits, Financial Statement Schedules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117</w:t>
              </w:r>
            </w:hyperlink>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26">
              <w:r>
                <w:rPr>
                  <w:rFonts w:ascii="Times New Roman" w:cs="Times New Roman" w:eastAsia="Times New Roman" w:hAnsi="Times New Roman"/>
                  <w:sz w:val="18"/>
                  <w:szCs w:val="18"/>
                  <w:color w:val="0000EE"/>
                  <w:w w:val="97"/>
                </w:rPr>
                <w:t>Signatures</w:t>
              </w:r>
            </w:hyperlink>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125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Wynn Resorts, Limited ("Wynn Resorts," or together with its subsidiaries, "we" or the "Company"), led by Chairman and Chief Executive Officer, Stephen A. Wynn, is a leading developer, owner and operator of destination casino resorts (integrated resorts) that integrate hotel accommodations and a wide range of amenities, including fine dining outlets, premium retail offerings, distinctive entertainment theaters and large meeting complexes.</w:t>
      </w:r>
    </w:p>
    <w:p>
      <w:pPr>
        <w:spacing w:after="0" w:line="1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Wynn Resorts currently owns approximately 72% of Wynn Macau, Limited ("WML") and operates two integrated resorts in the Macau Special Administrative Region of the People's Republic of China ("Macau"), Wynn Macau and Wynn Palace. We also own 100% of and operate Wynn Las Vegas, an integrated resort in Las Vegas, Nevada, and are currently constructing Wynn Boston Harbor, an integrated resort in Everett Massachusetts, adjacent to Boston, which we expect to open in mid-2019.</w:t>
      </w:r>
    </w:p>
    <w:p>
      <w:pPr>
        <w:spacing w:after="0" w:line="180"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We present the operating results of our three resorts in the following segments: Wynn Macau, Wynn Palace, and Las Vegas Operations. For more information on our segments, see Item 8—"Financial Statements and Supplementary Data," Note 18 "Segment Information."</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Wynn Resorts, a Nevada corporation, was formed in 2002. 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Information related to the operation of the SEC's public reference room may be obtained by calling the SEC at 1-800-SEC-0330. In addition, through our own internet address at </w:t>
      </w:r>
      <w:r>
        <w:rPr>
          <w:rFonts w:ascii="Times New Roman" w:cs="Times New Roman" w:eastAsia="Times New Roman" w:hAnsi="Times New Roman"/>
          <w:sz w:val="18"/>
          <w:szCs w:val="18"/>
          <w:u w:val="single" w:color="auto"/>
          <w:color w:val="auto"/>
        </w:rPr>
        <w:t>www.wynnresorts.com</w:t>
      </w:r>
      <w:r>
        <w:rPr>
          <w:rFonts w:ascii="Times New Roman" w:cs="Times New Roman" w:eastAsia="Times New Roman" w:hAnsi="Times New Roman"/>
          <w:sz w:val="18"/>
          <w:szCs w:val="18"/>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opened Wynn Macau on September 6, 2006, Encore, an expansion of Wynn Macau, on April 21, 2010, and Wynn Palace on August 22, 2016. We refer to Wynn Macau and Wynn Palace as our "Macau Operations." We operate our Macau Operations under a 20-year casino concession agreement granted by the Macau government in June 2002. We lease from the Macau government approximately 16 acres of land in downtown Macau's inner harbor where Wynn Macau is located and 51 acres of land in the Cotai area of Macau where Wynn Palace is located. See "Regulation and Licensing—Macau" for details on the casino concession agreement, and see "Item 2—Properties" for details on the land concession agreement.</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Macau features the following as of February 15, 2017:</w:t>
      </w:r>
    </w:p>
    <w:p>
      <w:pPr>
        <w:spacing w:after="0" w:line="225" w:lineRule="exact"/>
        <w:rPr>
          <w:sz w:val="20"/>
          <w:szCs w:val="20"/>
          <w:color w:val="auto"/>
        </w:rPr>
      </w:pPr>
    </w:p>
    <w:p>
      <w:pPr>
        <w:ind w:left="1300" w:right="180" w:hanging="644"/>
        <w:spacing w:after="0" w:line="28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casino space, offering 24-hour gaming and a full range of games with 303 table games and 957 slot machines, private gaming salons, sky casinos and a poker pit;</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guest rooms and suites;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food and beverage outlets;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57,000 square feet of high-end, brand-name retail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spas, a salon and a pool;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rotunda show featuring a Chinese zodiac-inspired ceiling along with gold "prosperity tree" and "dragon of fortune" attractions.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Palace features the following as of February 15, 2017:</w:t>
      </w:r>
    </w:p>
    <w:p>
      <w:pPr>
        <w:spacing w:after="0" w:line="225" w:lineRule="exact"/>
        <w:rPr>
          <w:sz w:val="20"/>
          <w:szCs w:val="20"/>
          <w:color w:val="auto"/>
        </w:rPr>
      </w:pPr>
    </w:p>
    <w:p>
      <w:pPr>
        <w:ind w:left="1300" w:right="140" w:hanging="644"/>
        <w:spacing w:after="0" w:line="28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420,000 square feet of casino space, offering 24-hour gaming and a full range of games with 304 table games and 996 slot machines, private gaming salons, sky casinos and a poker pit;</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luxury hotel with a total of 1,706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food and beverage outlets;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105,000 square feet of high-end, brand-name retail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 gondola ride, health club, spa, salon and pool;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attractions including a performance lake and floral art displays.</w:t>
      </w:r>
    </w:p>
    <w:p>
      <w:pPr>
        <w:spacing w:after="0" w:line="225"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We opened Wynn Las Vegas on April 28, 2005 and opened Encore, an expansion of Wynn Las Vegas, on December 22, 2008. We also refer to Wynn Las Vegas as our "Las Vegas Operations." Wynn Las Vegas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upon which an office building is located.</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Las Vegas features the following as of February 15, 2017:</w:t>
      </w:r>
    </w:p>
    <w:p>
      <w:pPr>
        <w:spacing w:after="0" w:line="225" w:lineRule="exact"/>
        <w:rPr>
          <w:sz w:val="20"/>
          <w:szCs w:val="20"/>
          <w:color w:val="auto"/>
        </w:rPr>
      </w:pPr>
    </w:p>
    <w:p>
      <w:pPr>
        <w:ind w:left="1300" w:hanging="644"/>
        <w:spacing w:after="0" w:line="28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189,000 square feet of casino space, offering 24-hour gaming and a full range of games with 234 table games and 1,907 slot machines, private gaming salons, a sky casino, a poker room, and a race and sports book;</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food and beverage outlets;</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space (of which, effective December 28, 2016, approximately 88,000 square feet is owned and operated by a joint venture of which we own 50.1%);</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two full service spas and salons, and a wedding chapel;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specially designed theater presenting "Le Rêve-The Dream," a water-based theatrical production and a theater presenting entertainment productions and various headliner entertainment acts.</w:t>
      </w:r>
    </w:p>
    <w:p>
      <w:pPr>
        <w:spacing w:after="0" w:line="21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December 2016, we formed a joint venture with Crown Acquisitions Inc. ("Crown") to own and operate approximately 88,000 square feet of existing retail space and signed an agreement with Crown to form a joint venture to own and operate approximately 73,000 square feet of additional retail space that is currently under construction at Wynn Las Vegas. We expect to open the additional retail space in the first quarter of 2018. For more information on the joint venture, see Item 8—"Financial Statements and Supplementary Data," Note 3, "Retail Joint Venture."</w:t>
      </w:r>
    </w:p>
    <w:p>
      <w:pPr>
        <w:spacing w:after="0" w:line="180"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80"/>
          </w:cols>
          <w:pgMar w:left="240" w:top="118" w:right="27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and Development Opportunities</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November 2014, we were awarded a gaming license to develop and construct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December 31, 2016, we have incurred approximately $466.8 million in total project costs. We expect to open Wynn Boston Harbor in mid-2019.</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We believe that Wynn Resorts is the world's preeminent designer, developer, and operator of integrated resorts. The Company's integrated resort business model, pioneered by Chairman and Chief Executive Officer Stephen A. Wynn, integrates luxury hotel rooms, high-end retail, an array of dining and entertainment options, meeting space, and gaming, all supported by superior levels of customer service. Given his extensive design and operational experience across numerous gaming jurisdictions, we believe that Mr. Wynn's involvement with our resorts provides a distinct advantage over other gaming enterprises.</w:t>
      </w:r>
    </w:p>
    <w:p>
      <w:pPr>
        <w:spacing w:after="0" w:line="184"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Wynn Resorts and its management team have a demonstrated track record in developing and operating successful integrated resort projects around the world. The senior executive team has an average of over 25 years of experience in the hotel and gaming industries. In addition, we have a design, development and construction subsidiary, in which senior management has significant experience across all major construction disciplines.</w:t>
      </w:r>
    </w:p>
    <w:p>
      <w:pPr>
        <w:spacing w:after="0" w:line="176"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We aim to build appropriately scaled integrated resorts that attract a wide range of customer segments (including premium international customers) and generate strong financial results. We design and continually refresh our integrated resorts to create unique customer experiences across a wide range of gaming and non-gaming amenities. Our business is dependent upon repeat visitation from our guests. We believe superior customer experience and service is the best marketing strategy to attract and retain our customers. Human resources and staff training are essential to our strategy to ensure our employees are prepared to provide the luxury service that our guests expect.</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integrated resorts are conceptualized, designed, built and operated in major metropolitan markets to service all customers with an emphasis on providing superior levels of premium customer service. In Las Vegas and Macau, we have been successful in attracting not only a wide range of domestic guests, but also extending our customer market areas into international markets. We leverage our international marketing team across branch offices located in five countries (Hong Kong SAR, Singapore, Japan, Taiwan and Canada) to attract international customers.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Reflecting our commitment to customer service globally, the Company has received the following recognition:</w:t>
      </w:r>
    </w:p>
    <w:p>
      <w:pPr>
        <w:spacing w:after="0" w:line="279" w:lineRule="exact"/>
        <w:rPr>
          <w:sz w:val="20"/>
          <w:szCs w:val="20"/>
          <w:color w:val="auto"/>
        </w:rPr>
      </w:pPr>
    </w:p>
    <w:p>
      <w:pPr>
        <w:ind w:left="1300" w:right="5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Wynn Resorts earned more Five-Star awards than any other independent hotel company in the world in the official 2017 Forbes Travel Guide Star Rating list.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continues to be the only resort in the world with eight Forbes Travel Guide Five-Star awards.</w:t>
      </w:r>
    </w:p>
    <w:p>
      <w:pPr>
        <w:spacing w:after="0" w:line="117"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owns two of the largest Forbes Five-Star hotels in the United States: Wynn Tower Suites (Las Vegas) and Encore Tower Suites (Las Vegas).</w:t>
      </w:r>
    </w:p>
    <w:p>
      <w:pPr>
        <w:spacing w:after="0" w:line="53"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was once again honored as the highest ranking casino resort on FORTUNE Magazine's 2017 World's Most Admired Companies list in the hotel, casino and resort category.</w:t>
      </w:r>
    </w:p>
    <w:p>
      <w:pPr>
        <w:spacing w:after="0" w:line="21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plan to continue to seek out new opportunities to develop and operate integrated resorts, including related businesses, around the world. Overall, we believe Wynn Resorts has a demonstrated track record of developing integrated resorts that stimulate city- and region-wide economic activity, which we believe includes:</w:t>
      </w:r>
    </w:p>
    <w:p>
      <w:pPr>
        <w:spacing w:after="0" w:line="23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a wide range of customers to the region, including high-net-worth international tourists;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international tourism for the region;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average hotel room rates in the region;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0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average length of stay per visitor;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complementing existing convention and meeting business with five-star accommodations and appropriately scaled meeting amenities;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elevating service levels with the execution of five-star customer service;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stimulate city-wide investment and employment.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casino resort industry is highly competitive. Both our Macau Operations and Las Vegas Operations compete with other high-quality casino resorts. Resorts located near our properties compete on the basis of the range of amenities, level of service, price, location, entertainment, themes and size, among other factors. We seek to differentiate our Macau and Las Vegas integrated resorts from other major resorts by delivering superior design and customer service.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2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Macau is governed as a special administrative region of China and is located approximately 37 miles southwest of, and approximately one hour away via ferry from, Hong Kong. Macau, which has been a casino destination for more than 50 years, consists principally of a peninsula on mainland China, with two neighboring islands, Taipa and Coloane, between which the Cotai area is located. In 2002, the government of Macau ended a 40-year monopoly on the conduct of gaming operations by conducting a competitive process that resulted in the issuance of gaming concessions to three concessionaires (including Wynn Resorts (Macau) S.A., ("Wynn Macau SA")) who in turn were permitted, subject to the approval of the government of Macau, to each grant one subconcession, resulting in a total of six gaming concessionaires and subconcessionaires. In addition to Wynn Macau SA, each of Sociedade de Jogos de Macau ("SJM") and Galaxy Entertainment Group Limited are primary concessionaires with Sands China Ltd., Melco Crown and MGM China Holdings Limited operating under subconcessions. There is no limit to the number of casinos each concessionaire or subconcessionaire is permitted to operate, but each facility is subject to government approval. Currently, there are 38 casinos operating in Macau.</w:t>
      </w:r>
    </w:p>
    <w:p>
      <w:pPr>
        <w:spacing w:after="0" w:line="189"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 Macau region hosts one of the world's largest concentrations of potential gaming customers. Since the introduction of new casinos starting in 2004, the Macau market has experienced a significant increase in annual gaming revenue and has become the largest gaming market in the world. According to Macau Statistical Information, annual gaming revenues have grown from $2.9 billion in 2002 to $27.9 billion in 2016.</w:t>
      </w:r>
    </w:p>
    <w:p>
      <w:pPr>
        <w:spacing w:after="0" w:line="176"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Macau's gaming market is primarily dependent on tourists. Gaming customers traveling to Macau typically come from nearby destinations in Asia. According to the Macau Statistics and Census Service Monthly Bulletin of Statistics, approximately 90% of the tourists who visited Macau in 2016 came from Hong Kong, mainland China or Taiwan. Travel to Macau by citizens of mainland China requires a visa.</w:t>
      </w:r>
    </w:p>
    <w:p>
      <w:pPr>
        <w:spacing w:after="0" w:line="17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2014, the Macau gaming market experienced its first year-over-year decline in annual gaming revenues since its liberalization in 2002, influenced by a downward trend in tourist arrivals. Government statistics show a slight increase in tourist arrivals in 2016 over 2015 of 0.8%, to 31.0 million tourists in 2016. Despite the slight increase in tourist arrivals in Macau, the decline in tourists' gaming activities has contributed to a further reduction in annual gaming revenues in Macau during 2016, as compared to 2015.</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Macau market has experienced tremendous growth in capacity since the opening of Wynn Macau in 2006. As of December 31, 2016, there were 36,300 hotel rooms, 6,287 table games and 13,826 slot machines in Macau, compared to 12,978 hotel rooms, 2,762 table games and 6,546 slot machines as of December 31, 2006. During 2016, we contributed to the new capacity in the market, with the opening of Wynn Palace in the Cotai area. Several of the current concessionaires and subconcessionaires also opened additional facilities during 2016 in the Cotai area or will open additional facilities during 2017 and 2018, which will further increase other gaming and non-gaming offerings in the Macau market.</w:t>
      </w:r>
    </w:p>
    <w:p>
      <w:pPr>
        <w:spacing w:after="0" w:line="18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Macau Operations face competition primarily from the 36 other casinos located throughout Macau in addition to casinos located throughout the world, including Singapore, Philippines, Malaysia, Australia, Las Vegas, cruise ships in Asia that offer gaming, and other casinos throughout Asia. If current efforts to legalize gaming in other Asian countries, such as Japan, are successful, our Macau Operations will face additional competition.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8" w:right="25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Las Vegas</w:t>
      </w:r>
    </w:p>
    <w:p>
      <w:pPr>
        <w:spacing w:after="0" w:line="229" w:lineRule="exact"/>
        <w:rPr>
          <w:sz w:val="20"/>
          <w:szCs w:val="20"/>
          <w:color w:val="auto"/>
        </w:rPr>
      </w:pPr>
    </w:p>
    <w:p>
      <w:pPr>
        <w:ind w:right="120" w:firstLine="405"/>
        <w:spacing w:after="0" w:line="281" w:lineRule="auto"/>
        <w:rPr>
          <w:sz w:val="20"/>
          <w:szCs w:val="20"/>
          <w:color w:val="auto"/>
        </w:rPr>
      </w:pPr>
      <w:r>
        <w:rPr>
          <w:rFonts w:ascii="Times New Roman" w:cs="Times New Roman" w:eastAsia="Times New Roman" w:hAnsi="Times New Roman"/>
          <w:sz w:val="17"/>
          <w:szCs w:val="17"/>
          <w:color w:val="auto"/>
        </w:rPr>
        <w:t>Las Vegas is the largest gaming market in the United States. Although Las Vegas Strip gaming revenues remained relatively flat at $6.4 billion for the year ended December 31, 2016, the economic environment in the gaming and hotel markets in Las Vegas continued to improve with increased visitation and hotel room demand. During 2016, the average daily room rate increased 4.5% and visitation increased 1.5% to 42.9 million visitors compared to 2015. In addition, Las Vegas Strip resorts experienced 2016 year-over-year increases of 1.1% and 5.9% in occupancy and revenue per available room, respectively.</w:t>
      </w:r>
    </w:p>
    <w:p>
      <w:pPr>
        <w:spacing w:after="0" w:line="165"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Wynn Las Vegas is located on the Las Vegas Strip and competes with other high-quality resorts and hotel casinos in Las Vegas. Wynn Las Vegas also competes, to some extent, with other casino resorts throughout the United States and elsewhere in the world.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Data</w:t>
      </w:r>
    </w:p>
    <w:p>
      <w:pPr>
        <w:spacing w:after="0" w:line="229"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Geographic data is reported in Item 8—"Financial Statements and Supplementary Data," Note 18 "Segment Information." Additional financial data about our geographic operations is provided in Item 7—"Management's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25" w:lineRule="exact"/>
        <w:rPr>
          <w:sz w:val="20"/>
          <w:szCs w:val="20"/>
          <w:color w:val="auto"/>
        </w:rPr>
      </w:pPr>
    </w:p>
    <w:p>
      <w:pPr>
        <w:ind w:right="8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As a casino concessionaire, Wynn Macau SA is subject to the regulatory control of the government of Macau. The government has adopted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184"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89"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18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176"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Concession Agreement. </w:t>
      </w:r>
      <w:r>
        <w:rPr>
          <w:rFonts w:ascii="Times New Roman" w:cs="Times New Roman" w:eastAsia="Times New Roman" w:hAnsi="Times New Roman"/>
          <w:sz w:val="18"/>
          <w:szCs w:val="18"/>
          <w:color w:val="auto"/>
        </w:rPr>
        <w:t>The concession agreement between Wynn Macau SA and the Macau government required Wynn Macau SA to construct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one or more casino gaming properties in Macau, including, at a minimum, one full-service casino resort by the end of December 2006, and to invest not less than a total of 4 billion Macau patacas (approximately $500.0 million) in Macau-related projects by June 2009. These obligations were satisfied upon the opening of Wynn Macau in 2006.</w:t>
      </w:r>
    </w:p>
    <w:p>
      <w:pPr>
        <w:spacing w:after="0" w:line="18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Wynn Macau SA was also obligated to obtain, and did obtain, a 700.0 million Macau pataca (approximately $87.0 million) bank guarantee from Banco National Ultramarino, S.A. ("BNU") that was effective until March 31, 2007. The amount of this guarantee was reduced to 300 million Macau patacas (approximately $37.0 million) for the period from April 1, 2007 until 180 days after the end of the term of the concession agreement. This guarantee, which is for the benefit of the Macau government, assures Wynn Macau SA's performance under the casino concession agreement, including the payment of</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spacing w:after="0" w:line="176"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gaming and non-gaming revenue generated during the tax year prior to the redemption multiplied by the remaining years before expiration of the concession.</w:t>
      </w:r>
    </w:p>
    <w:p>
      <w:pPr>
        <w:spacing w:after="0" w:line="176"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w:t>
      </w:r>
    </w:p>
    <w:p>
      <w:pPr>
        <w:spacing w:after="0" w:line="27" w:lineRule="exact"/>
        <w:rPr>
          <w:rFonts w:ascii="Times New Roman" w:cs="Times New Roman" w:eastAsia="Times New Roman" w:hAnsi="Times New Roman"/>
          <w:sz w:val="18"/>
          <w:szCs w:val="18"/>
          <w:color w:val="auto"/>
        </w:rPr>
      </w:pPr>
    </w:p>
    <w:p>
      <w:pPr>
        <w:ind w:left="1300" w:right="380" w:hanging="644"/>
        <w:spacing w:after="0" w:line="25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abandons or suspends gaming operations in Macau for more than seven consecutive days (or more than 14 days in a civil year) without justification;</w:t>
      </w: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payment of taxes, premiums, contributions or other required amounts;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subject of bankruptcy proceedings or becomes insolvent;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and seriously violates applicable gaming laws.</w:t>
      </w:r>
    </w:p>
    <w:p>
      <w:pPr>
        <w:spacing w:after="0" w:line="20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0"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w:t>
      </w:r>
    </w:p>
    <w:p>
      <w:pPr>
        <w:spacing w:after="0" w:line="172"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Gaming Promoters. </w:t>
      </w:r>
      <w:r>
        <w:rPr>
          <w:rFonts w:ascii="Times New Roman" w:cs="Times New Roman" w:eastAsia="Times New Roman" w:hAnsi="Times New Roman"/>
          <w:sz w:val="17"/>
          <w:szCs w:val="17"/>
          <w:color w:val="auto"/>
        </w:rPr>
        <w:t>A gaming promoter, also known as a junket representative, is a person or entity who, for the purpose of promoting casino gaming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activity, arranges customer transportation and accommodations, and provides credit in their sole discretion, food and beverage services and entertainment in exchange for commissions or other compensation from a concessionaire. Macau law provides that gaming promoters must be licensed by the Macau government in order to do business with and receive compensation from concessionaires. For a license to be obtained, direct and indirect owners of 5% or more of a gaming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gaming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Gaming Inspection and Coordination Bureau ("DICJ") implemented certain instructions in 2009, which have the force of law, relating to commissions paid to, and by, gaming promoters. Such instructions also impose certain financial reporting and audit requirements on gaming promoters.</w:t>
      </w:r>
    </w:p>
    <w:p>
      <w:pPr>
        <w:spacing w:after="0" w:line="174"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Under Macau law, licensed gaming promoters must identify outside contractors who assist them in their promotion activities. These contractors are subject to approval of the Macau government. Changes in the management structure of business entity gaming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Macau law further provides that concessionaires are jointly responsible with their gaming promoters for the gaming activities of such representatives and their directors and contractors in the concessionaire's casinos, and for their compliance with applicable laws and regulations. Concessionaires must submit annual lists of their gaming promoters, and must update such lists on a quarterly basis. The Macau government may designate a maximum number of gaming promoters and specify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number of gaming promoters a concessionaire is permitted to engage. Concessionaires are subject to periodic reporting requirements with respect to commissions paid to their gaming promoters' representatives and are required to oversee their activities and report instances of unlawful activity.</w:t>
      </w:r>
    </w:p>
    <w:p>
      <w:pPr>
        <w:spacing w:after="0" w:line="16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late 2015, the Macau government implemented enhanced accounting and financial procedures and requirements to be followed by gaming promoters. These enhanced procedures require gaming promoters to disclose more detailed financial and accounting information to the DICJ, including the disclosure of certain financial information on a monthly basis. Gaming promoters also must identify and nominate senior financial or accounting representatives to be available to the DICJ for any follow-up matters the DICJ may require.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25" w:lineRule="exact"/>
        <w:rPr>
          <w:sz w:val="20"/>
          <w:szCs w:val="20"/>
          <w:color w:val="auto"/>
        </w:rPr>
      </w:pPr>
    </w:p>
    <w:p>
      <w:pPr>
        <w:ind w:right="30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Introduction. </w:t>
      </w:r>
      <w:r>
        <w:rPr>
          <w:rFonts w:ascii="Times New Roman" w:cs="Times New Roman" w:eastAsia="Times New Roman" w:hAnsi="Times New Roman"/>
          <w:sz w:val="18"/>
          <w:szCs w:val="18"/>
          <w:color w:val="auto"/>
        </w:rPr>
        <w:t>The ownership and operation of casino gaming facilities in the State of Nevada are subject to the Nevada Gaming Control Act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made thereunder, as well as to various local ordinances. Our Las Vegas Operations are subject to the licensing and regulatory control of the Nevada Gaming Commission, the Nevada Gaming Control Board and the Clark County Liquor and Gaming Licensing Board, which we refer to herein collectively as the "Nevada Gaming Authorities."</w:t>
      </w:r>
    </w:p>
    <w:p>
      <w:pPr>
        <w:spacing w:after="0" w:line="177" w:lineRule="exact"/>
        <w:rPr>
          <w:sz w:val="20"/>
          <w:szCs w:val="20"/>
          <w:color w:val="auto"/>
        </w:rPr>
      </w:pPr>
    </w:p>
    <w:p>
      <w:pPr>
        <w:ind w:right="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Concerns of Gaming Laws. </w:t>
      </w:r>
      <w:r>
        <w:rPr>
          <w:rFonts w:ascii="Times New Roman" w:cs="Times New Roman" w:eastAsia="Times New Roman" w:hAnsi="Times New Roman"/>
          <w:sz w:val="18"/>
          <w:szCs w:val="18"/>
          <w:color w:val="auto"/>
        </w:rPr>
        <w:t>The laws, regulations and supervisory procedures of the Nevada Gaming Authorities are based upon declarations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policy. Such public policy concerns include, among other things:</w:t>
      </w:r>
    </w:p>
    <w:p>
      <w:pPr>
        <w:spacing w:after="0" w:line="15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9"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cheating and fraudulent practices;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207"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Changes in applicable laws, regulations and procedures could have significant negative effects on our Las Vegas gaming operations and our financial condition and results of operations.</w:t>
      </w:r>
    </w:p>
    <w:p>
      <w:pPr>
        <w:spacing w:after="0" w:line="158"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 and Operator Licensing Requirements. </w:t>
      </w:r>
      <w:r>
        <w:rPr>
          <w:rFonts w:ascii="Times New Roman" w:cs="Times New Roman" w:eastAsia="Times New Roman" w:hAnsi="Times New Roman"/>
          <w:sz w:val="18"/>
          <w:szCs w:val="18"/>
          <w:color w:val="auto"/>
        </w:rPr>
        <w:t>Our subsidiary, Wynn Las Vegas, LLC, the owner and operator of Wynn Las Vegas, has been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Nevada Gaming Authorities as a limited liability company licensee, referred to as a company licensee, which includes approval to conduct casino gaming operations, including a race book and sports pool, pari-mutuel wagering and the operation of gaming salons. These gaming licenses are not transferable.</w:t>
      </w:r>
    </w:p>
    <w:p>
      <w:pPr>
        <w:spacing w:after="0" w:line="177"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Registration Requirements. </w:t>
      </w:r>
      <w:r>
        <w:rPr>
          <w:rFonts w:ascii="Times New Roman" w:cs="Times New Roman" w:eastAsia="Times New Roman" w:hAnsi="Times New Roman"/>
          <w:sz w:val="18"/>
          <w:szCs w:val="18"/>
          <w:color w:val="auto"/>
        </w:rPr>
        <w:t>Wynn Resorts was found suitable by the Nevada Gaming Commission to own the equity interests of Wynn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Resorts 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America, LLC ("Wynn America") and to be registered by the Nevada Gaming Commission as an intermediary company. Wynn America was found suitable by the Nevada Gaming Commission to own the equity interests of Wynn Las Vegas Holdings, LLC and to be registered by the Nevada Gaming Commission as an intermediary company. Wynn Las Vegas Holdings, LLC was found suitable by the Nevada Gaming Commission to own the equity interests of Wynn Las Vegas, LLC and to be registered by the Nevada Gaming Commission as an intermediary company. In addition to being licensed, Wynn Las Vegas, LLC, as an issuer of debt securities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9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72" w:lineRule="exact"/>
        <w:rPr>
          <w:sz w:val="20"/>
          <w:szCs w:val="20"/>
          <w:color w:val="auto"/>
        </w:rPr>
      </w:pPr>
    </w:p>
    <w:p>
      <w:pPr>
        <w:ind w:right="12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Individual Licensing Requirements. </w:t>
      </w:r>
      <w:r>
        <w:rPr>
          <w:rFonts w:ascii="Times New Roman" w:cs="Times New Roman" w:eastAsia="Times New Roman" w:hAnsi="Times New Roman"/>
          <w:sz w:val="18"/>
          <w:szCs w:val="18"/>
          <w:color w:val="auto"/>
        </w:rPr>
        <w:t>No person may become a more than 5% stockholder or member of, or receive any percentage of the profits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89"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7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Securities Owned by an Unsuitable Person. </w:t>
      </w:r>
      <w:r>
        <w:rPr>
          <w:rFonts w:ascii="Times New Roman" w:cs="Times New Roman" w:eastAsia="Times New Roman" w:hAnsi="Times New Roman"/>
          <w:sz w:val="18"/>
          <w:szCs w:val="18"/>
          <w:color w:val="auto"/>
        </w:rPr>
        <w:t>The Company's articles of incorporation provide that, to the extent required by the gaming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 and as set forth in the Company's articles of incorporation.</w:t>
      </w:r>
    </w:p>
    <w:p>
      <w:pPr>
        <w:spacing w:after="0" w:line="19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 USA, Inc.'s ("Aruze") 24,549,222 shares of Wynn Resorts' common stock. Pursuant to its articles of incorporation, Wynn Resorts issued the Redemption Price Promissory Note (the "Redemption Note") to Aruze in redemption of the shares. Aruze, Universal Entertainment Corporation and Mr. Kazuo Okada (collectively, the "Okada Parties") have challenged the redemption of Aruze's shares and the Company is currently involved in litigation with those parties as well as related shareholder derivative litigation. See Item 1A—"Risk Factors" and Item 8—"Financial Statements and Supplementary Data," Note 17 "Commitments and Contingencies."</w:t>
      </w:r>
    </w:p>
    <w:p>
      <w:pPr>
        <w:spacing w:after="0" w:line="18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Violating Gaming Laws. </w:t>
      </w:r>
      <w:r>
        <w:rPr>
          <w:rFonts w:ascii="Times New Roman" w:cs="Times New Roman" w:eastAsia="Times New Roman" w:hAnsi="Times New Roman"/>
          <w:sz w:val="18"/>
          <w:szCs w:val="18"/>
          <w:color w:val="auto"/>
        </w:rPr>
        <w:t>If the Nevada Gaming Commission determines that we have violated the Nevada Gaming Control Act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83" w:lineRule="exact"/>
        <w:rPr>
          <w:sz w:val="20"/>
          <w:szCs w:val="20"/>
          <w:color w:val="auto"/>
        </w:rPr>
      </w:pPr>
    </w:p>
    <w:p>
      <w:pPr>
        <w:ind w:right="14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Voting or Nonvoting Securities Holders. </w:t>
      </w:r>
      <w:r>
        <w:rPr>
          <w:rFonts w:ascii="Times New Roman" w:cs="Times New Roman" w:eastAsia="Times New Roman" w:hAnsi="Times New Roman"/>
          <w:sz w:val="18"/>
          <w:szCs w:val="18"/>
          <w:color w:val="auto"/>
        </w:rPr>
        <w:t>Regardless of the number of shares held, any beneficial owner of Wynn Resorts' voting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87"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 Nevada Gaming Control Act requires any person who acquires more than 5% of the voting securities of a registered company to report the acquisition to the Nevada Gaming Commission. The Nevada Gaming Control Act requires beneficial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owners of more than 10% of a registered company's voting securities to apply to the Nevada Gaming Commission for a finding of suitability within 30 days after the Chairman of the Nevada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189"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27" w:lineRule="exact"/>
        <w:rPr>
          <w:rFonts w:ascii="Times New Roman" w:cs="Times New Roman" w:eastAsia="Times New Roman" w:hAnsi="Times New Roman"/>
          <w:sz w:val="18"/>
          <w:szCs w:val="18"/>
          <w:color w:val="auto"/>
        </w:rPr>
      </w:pPr>
    </w:p>
    <w:p>
      <w:pPr>
        <w:ind w:left="1300" w:right="80" w:hanging="644"/>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management, policies or operations; and</w:t>
      </w: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Nevada Gaming Commission may determine to be consistent with such investment intent.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articles of incorporation of Wynn Resorts include provisions intended to assist its implementation of the above restrictions.</w:t>
      </w:r>
    </w:p>
    <w:p>
      <w:pPr>
        <w:spacing w:after="0" w:line="225"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85"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Being Found Unsuitable. </w:t>
      </w:r>
      <w:r>
        <w:rPr>
          <w:rFonts w:ascii="Times New Roman" w:cs="Times New Roman" w:eastAsia="Times New Roman" w:hAnsi="Times New Roman"/>
          <w:sz w:val="18"/>
          <w:szCs w:val="18"/>
          <w:color w:val="auto"/>
        </w:rPr>
        <w:t>Any person who fails or refuses to apply for a finding of suitability or a license within 30 days after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ordered to do so by the Nevada Gaming Commission or by the Chairman of the Nevada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187"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9" w:lineRule="exact"/>
        <w:rPr>
          <w:rFonts w:ascii="Times New Roman" w:cs="Times New Roman" w:eastAsia="Times New Roman" w:hAnsi="Times New Roman"/>
          <w:sz w:val="18"/>
          <w:szCs w:val="18"/>
          <w:color w:val="auto"/>
        </w:rPr>
      </w:pPr>
    </w:p>
    <w:p>
      <w:pPr>
        <w:ind w:left="1300" w:right="400" w:hanging="644"/>
        <w:spacing w:after="0" w:line="261"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76"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Gaming Laws Relating to Debt Securities Ownership. </w:t>
      </w:r>
      <w:r>
        <w:rPr>
          <w:rFonts w:ascii="Times New Roman" w:cs="Times New Roman" w:eastAsia="Times New Roman" w:hAnsi="Times New Roman"/>
          <w:sz w:val="18"/>
          <w:szCs w:val="18"/>
          <w:color w:val="auto"/>
        </w:rPr>
        <w:t>The Nevada Gaming Commission may, in its discretion, require the owner of any debt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 registered company, to file applications, be investigated and be found suitable to own the debt or other securities of the registered company if the Nevada Gaming Commission has reason to believe that such ownership would otherwise be inconsistent with the declared policies of the State of Nevada. If the Nevada Gaming Commission decides that a person is unsuitable to own the securities, then under the Nevada Gaming Control Act, the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company can be sanctioned, including the loss of its approvals if, without the prior approval of the Nevada Gaming Commission, it:</w:t>
      </w:r>
    </w:p>
    <w:p>
      <w:pPr>
        <w:spacing w:after="0" w:line="225"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203"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Public Offerings. </w:t>
      </w:r>
      <w:r>
        <w:rPr>
          <w:rFonts w:ascii="Times New Roman" w:cs="Times New Roman" w:eastAsia="Times New Roman" w:hAnsi="Times New Roman"/>
          <w:sz w:val="18"/>
          <w:szCs w:val="18"/>
          <w:color w:val="auto"/>
        </w:rPr>
        <w:t>Wynn Resorts, Limited may not make a public offering (debt or equity) without the prior approval of the Nevada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Gaming Commission if the proceeds from the offering are intended to be used to construct, acquire or finance gaming facilities in Nevada, or to retire or extend obligations incurred for those purposes or for similar transactions. On March 17, 2016, the Nevada Gaming Commission granted Wynn Resorts, Limited prior approval, subject to certain conditions, to make public offerings for a period of three years (the "Shelf Approval"). The Shelf Approval also applies to any affiliated company wholly owned by us that is a publicly traded corporation or would thereby become a publicly traded corporation pursuant to a public offering. The Shelf Approval may be rescinded for good cause without prior notice upon the issuance of an interlocutory stop order by the Chairman of the Nevada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82"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Changes in Control. </w:t>
      </w:r>
      <w:r>
        <w:rPr>
          <w:rFonts w:ascii="Times New Roman" w:cs="Times New Roman" w:eastAsia="Times New Roman" w:hAnsi="Times New Roman"/>
          <w:sz w:val="18"/>
          <w:szCs w:val="18"/>
          <w:color w:val="auto"/>
        </w:rPr>
        <w:t>A registered company must obtain the prior approval of the Nevada Gaming Commission with respect to a change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7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Entities seeking to acquire control of a registered company must satisfy the Nevada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7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Approval of Defensive Tactics. </w:t>
      </w:r>
      <w:r>
        <w:rPr>
          <w:rFonts w:ascii="Times New Roman" w:cs="Times New Roman" w:eastAsia="Times New Roman" w:hAnsi="Times New Roman"/>
          <w:sz w:val="17"/>
          <w:szCs w:val="17"/>
          <w:color w:val="auto"/>
        </w:rPr>
        <w:t>The Nevada legislature has declared that some corporate acquisitions opposed by management, repurchases of voting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6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licensees and their affiliated companies;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20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76" w:lineRule="exact"/>
        <w:rPr>
          <w:sz w:val="20"/>
          <w:szCs w:val="20"/>
          <w:color w:val="auto"/>
        </w:rPr>
      </w:pPr>
    </w:p>
    <w:p>
      <w:pPr>
        <w:ind w:right="30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Taxes. </w:t>
      </w: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17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gross revenue received;</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devices operated;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table games operated.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live entertainment tax also is imposed on admission charges where live entertainment is furnished.</w:t>
      </w:r>
    </w:p>
    <w:p>
      <w:pPr>
        <w:spacing w:after="0" w:line="221" w:lineRule="exact"/>
        <w:rPr>
          <w:sz w:val="20"/>
          <w:szCs w:val="20"/>
          <w:color w:val="auto"/>
        </w:rPr>
      </w:pPr>
    </w:p>
    <w:p>
      <w:pPr>
        <w:ind w:right="5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Gaming Investigations. </w:t>
      </w:r>
      <w:r>
        <w:rPr>
          <w:rFonts w:ascii="Times New Roman" w:cs="Times New Roman" w:eastAsia="Times New Roman" w:hAnsi="Times New Roman"/>
          <w:sz w:val="18"/>
          <w:szCs w:val="18"/>
          <w:color w:val="auto"/>
        </w:rPr>
        <w:t>Any person who is licensed, required to be licensed, registered, required to be registered in Nevada, or is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control with such persons (collectively, "licensees"), and who proposes to become involved in a</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18" w:right="25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gaming venture outside of Nevada, is required to deposit with the Nevada Gaming Control Board, and thereafter maintain, a revolving fund in the amount of $10,000 to pay the expenses of investigation of the Nevada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184"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27" w:lineRule="exact"/>
        <w:rPr>
          <w:rFonts w:ascii="Times New Roman" w:cs="Times New Roman" w:eastAsia="Times New Roman" w:hAnsi="Times New Roman"/>
          <w:sz w:val="18"/>
          <w:szCs w:val="18"/>
          <w:color w:val="auto"/>
        </w:rPr>
      </w:pPr>
    </w:p>
    <w:p>
      <w:pPr>
        <w:ind w:left="1300" w:right="680" w:hanging="644"/>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ind w:left="1300" w:right="200" w:hanging="644"/>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9" w:lineRule="exact"/>
        <w:rPr>
          <w:rFonts w:ascii="Times New Roman" w:cs="Times New Roman" w:eastAsia="Times New Roman" w:hAnsi="Times New Roman"/>
          <w:sz w:val="18"/>
          <w:szCs w:val="18"/>
          <w:color w:val="auto"/>
        </w:rPr>
      </w:pPr>
    </w:p>
    <w:p>
      <w:pPr>
        <w:ind w:left="1300" w:right="54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176"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Licenses for Conduct of Gaming and Sale of Alcoholic Beverages. </w:t>
      </w:r>
      <w:r>
        <w:rPr>
          <w:rFonts w:ascii="Times New Roman" w:cs="Times New Roman" w:eastAsia="Times New Roman" w:hAnsi="Times New Roman"/>
          <w:sz w:val="18"/>
          <w:szCs w:val="18"/>
          <w:color w:val="auto"/>
        </w:rPr>
        <w:t>The conduct of gaming activities and the service and sale of alcoholic beverages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25"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Introduction. </w:t>
      </w:r>
      <w:r>
        <w:rPr>
          <w:rFonts w:ascii="Times New Roman" w:cs="Times New Roman" w:eastAsia="Times New Roman" w:hAnsi="Times New Roman"/>
          <w:sz w:val="18"/>
          <w:szCs w:val="18"/>
          <w:color w:val="auto"/>
        </w:rPr>
        <w:t>On November 22, 2011, Massachusetts Governor Deval Patrick signed Chapter 194 of the Acts of 2011 "An Act Establishing Expanded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Gaming in the Commonwealth," legislation (the "Gaming Act") designed to provide significant benefits to the Commonwealth of Massachusetts by advancing job creation and economic development. The Gaming Act allows for up to three destination resort casinos located in three geographically diverse regions across the Commonwealth and a single slots facility, not pegged to any particular region. The licensing fee for each resort casino is $85.0 million and requires a capital investment, to include a hotel facility, of at least $500.0 million. The Commonwealth will receive 25% of gross gaming revenues.</w:t>
      </w:r>
    </w:p>
    <w:p>
      <w:pPr>
        <w:spacing w:after="0" w:line="184"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Gaming Act also called for the creation of a five-member independent body, the Massachusetts Gaming Commission (the "MGC"), to oversee the implementation and licensing process, as well as regulate the operation of gaming facilities. The MGC is in the process of promulgating detailed regulations to govern the operations of the resort casinos and the slot parlor facility.</w:t>
      </w:r>
    </w:p>
    <w:p>
      <w:pPr>
        <w:spacing w:after="0" w:line="172" w:lineRule="exact"/>
        <w:rPr>
          <w:sz w:val="20"/>
          <w:szCs w:val="20"/>
          <w:color w:val="auto"/>
        </w:rPr>
      </w:pPr>
    </w:p>
    <w:p>
      <w:pPr>
        <w:jc w:val="both"/>
        <w:ind w:right="120" w:firstLine="432"/>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Owner and Operator Licensing Requirements. </w:t>
      </w:r>
      <w:r>
        <w:rPr>
          <w:rFonts w:ascii="Times New Roman" w:cs="Times New Roman" w:eastAsia="Times New Roman" w:hAnsi="Times New Roman"/>
          <w:sz w:val="17"/>
          <w:szCs w:val="17"/>
          <w:color w:val="auto"/>
        </w:rPr>
        <w:t>Our indirect wholly owned subsidiary, Wynn MA, LLC, was the "applicant" under the MGC's Phase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regulations and was determined to be suitable for the purpose of holding a Category 1 Gaming License. On September 17, 2014, the MGC designated Wynn MA, LLC the award winner of the Greater Boston (Region A) gaming license. On November 7, 2014, the gaming license awarded to us became effective.</w:t>
      </w:r>
    </w:p>
    <w:p>
      <w:pPr>
        <w:spacing w:after="0" w:line="15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Registration Requirements. </w:t>
      </w:r>
      <w:r>
        <w:rPr>
          <w:rFonts w:ascii="Times New Roman" w:cs="Times New Roman" w:eastAsia="Times New Roman" w:hAnsi="Times New Roman"/>
          <w:sz w:val="18"/>
          <w:szCs w:val="18"/>
          <w:color w:val="auto"/>
        </w:rPr>
        <w:t>In addition, pursuant to the Phase 1 regulations, the following entities and persons are deemed to be "qualifiers"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investigation: all members, transferees of a member's interest, directors and managers of the licensee and, in the judgment of the MGC, each lender, each holder of indebtedness, each underwriter, each close associate, each executive and each agent. As a result, Wynn Resorts, its key employees and its directors were therefore subject to a suitability investigation. Wynn Resorts and all individual qualifiers were found suitable by the MGC. As our progress in Massachusetts continues, additional entities and key employees may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MGC.</w:t>
      </w:r>
    </w:p>
    <w:p>
      <w:pPr>
        <w:spacing w:after="0" w:line="18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8" w:right="2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terminate the employment of any person who refuses to file appropriate applications. Determinations of suitability or questions pertaining to licensing are not subject to judicial review.</w:t>
      </w:r>
    </w:p>
    <w:p>
      <w:pPr>
        <w:spacing w:after="0" w:line="158" w:lineRule="exact"/>
        <w:rPr>
          <w:sz w:val="20"/>
          <w:szCs w:val="20"/>
          <w:color w:val="auto"/>
        </w:rPr>
      </w:pPr>
    </w:p>
    <w:p>
      <w:pPr>
        <w:ind w:right="16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Violating Gaming Laws. </w:t>
      </w:r>
      <w:r>
        <w:rPr>
          <w:rFonts w:ascii="Times New Roman" w:cs="Times New Roman" w:eastAsia="Times New Roman" w:hAnsi="Times New Roman"/>
          <w:sz w:val="18"/>
          <w:szCs w:val="18"/>
          <w:color w:val="auto"/>
        </w:rPr>
        <w:t>If the MGC determines that we have violated the Gaming Act or any of its regulations, it could limit,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suspend or revoke our registrations and gaming license. In addition, the MGC set forth certain conditions in our gaming license. Any violation of the Gaming Act, its regulations or any of our license conditions resulting in a limitation, conditioning or suspension of our gaming license would have a significant negative effect on our Massachusetts gaming operations.</w:t>
      </w:r>
    </w:p>
    <w:p>
      <w:pPr>
        <w:spacing w:after="0" w:line="17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Licenses for Conduct of Gaming and Sale of Alcoholic Beverages. </w:t>
      </w:r>
      <w:r>
        <w:rPr>
          <w:rFonts w:ascii="Times New Roman" w:cs="Times New Roman" w:eastAsia="Times New Roman" w:hAnsi="Times New Roman"/>
          <w:sz w:val="18"/>
          <w:szCs w:val="18"/>
          <w:color w:val="auto"/>
        </w:rPr>
        <w:t>Pursuant to the Gaming Act, the MGC may grant a gaming beverage license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Gaming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Regulations</w:t>
      </w:r>
    </w:p>
    <w:p>
      <w:pPr>
        <w:spacing w:after="0" w:line="22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We may experience fluctuations in revenues and cash flows from month to month; however, we do not believe that our business is materially impacted by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2016, we had approximately 24,600 employees (including approximately 12,600 in Macau and 12,000 in the United States).</w:t>
      </w:r>
    </w:p>
    <w:p>
      <w:pPr>
        <w:spacing w:after="0" w:line="225"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Our ten-year collective bargaining agreement with the Culinary and Bartenders Union, which covers approximately 5,600 employees at Wynn Las Vegas, expired by its terms in July 2015. An extension was in place until February 2017 when we entered into a new collective bargaining agreement, which expires July 2021. In November 2010, we entered into a ten-year collective bargaining agreement with the Transportation Workers Union, which covers approximately 430 of our table games dealers at Wynn Las Vegas. Certain other unions may seek to organize the workers of our resorts.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17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8" w:right="25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retained counsel and intend to take all steps necessary to protect our intellectual property rights against unauthorized use throughout the world.</w:t>
      </w:r>
    </w:p>
    <w:p>
      <w:pPr>
        <w:spacing w:after="0" w:line="22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On August 6, 2004, we entered into agreements with Mr. Wynn that confirm and clarify our rights to use the "Wynn" surname and Mr. Wynn's persona in connection with our casino resorts. Under a Surname Rights Agreement, Mr. Wynn has acknowledged our exclusive, fully paid-up, perpetual, worldwide right to use, and to own and register trademarks and service marks incorporating, the "Wynn" surname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88"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We have also registered various domain names with various domain registrars around the world. Our domain registrations extend to various foreign countries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more information regarding the Company's intellectual property matters see Item 1A—"Risk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76"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in the U.S. and China, which may impact levels of travel, leisure and consumer spending;</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 w:lineRule="exact"/>
        <w:rPr>
          <w:rFonts w:ascii="Times New Roman" w:cs="Times New Roman" w:eastAsia="Times New Roman" w:hAnsi="Times New Roman"/>
          <w:sz w:val="18"/>
          <w:szCs w:val="18"/>
          <w:color w:val="auto"/>
        </w:rPr>
      </w:pPr>
    </w:p>
    <w:p>
      <w:pPr>
        <w:ind w:left="1300" w:right="20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Macau gaming promoters;</w:t>
      </w:r>
    </w:p>
    <w:p>
      <w:pPr>
        <w:spacing w:after="0" w:line="9"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300" w:right="36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jc w:val="both"/>
        <w:ind w:left="1300" w:right="2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Times New Roman" w:cs="Times New Roman" w:eastAsia="Times New Roman" w:hAnsi="Times New Roman"/>
          <w:sz w:val="18"/>
          <w:szCs w:val="18"/>
          <w:color w:val="auto"/>
        </w:rPr>
      </w:pPr>
    </w:p>
    <w:p>
      <w:pPr>
        <w:ind w:left="1300" w:right="28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of gaming in other jurisdictions;</w:t>
      </w:r>
    </w:p>
    <w:p>
      <w:pPr>
        <w:spacing w:after="0" w:line="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(including the Chinese government's ongoing anti-corruption campaign) and the cost of compliance or failure to comply with applicable laws and regulations;</w:t>
      </w: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promissory note we issued in connection with the redemption of Mr. Okada's shares;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20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loss of Stephen A. Wynn could significantly harm our business.</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2022; however, we cannot assure you that Mr. Wynn will remain with Wynn Resorts. If we lose the services of Mr. Wynn, or if he is unable to devote sufficient attention to our operations for any other reason, our business may be significantly impaired.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reductions in discretionary consumer and corporate spending as a result of global economic conditions.</w:t>
      </w:r>
    </w:p>
    <w:p>
      <w:pPr>
        <w:spacing w:after="0" w:line="22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Consumer demand for casino/hotel resorts, trade shows and conventions and for the type of luxury amenities that we offer is particularly sensitive to changes in the global economy, which adversely impact discretionary spending on leisure activities. Changes in discretionary consumer spending or consumer preferences brought about by factors such as perceived or actual general global economic conditions, high unemployment, weakness in housing or oil markets, perceived or actual changes in disposable consumer income and wealth, an economic recession and changes in consumer confidence in the global economy, or fears of war and future acts of terrorism have in the past and could in the future reduce customer demand for the luxury amenities and leisure activities we offer, and may have a significant negative impact on our operating results.</w:t>
      </w:r>
    </w:p>
    <w:p>
      <w:pPr>
        <w:spacing w:after="0" w:line="188"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Also, consumer demographics and preferences may evolve over time, which, for example, has resulted in growth in consumer demand for non-gaming offerings. Our success depends in part on our ability to anticipate the preferences of consumers and react to those trends and any failure to do so may negatively impact our operating results.</w:t>
      </w:r>
    </w:p>
    <w:p>
      <w:pPr>
        <w:spacing w:after="0" w:line="172" w:lineRule="exact"/>
        <w:rPr>
          <w:sz w:val="20"/>
          <w:szCs w:val="20"/>
          <w:color w:val="auto"/>
        </w:rPr>
      </w:pPr>
    </w:p>
    <w:p>
      <w:pPr>
        <w:ind w:right="4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Visitation to Macau may decline due to economic disruptions in mainland China, restrictions on visitations to Macau from citizens of mainland China and the anti-corruption campaign.</w:t>
      </w:r>
    </w:p>
    <w:p>
      <w:pPr>
        <w:spacing w:after="0" w:line="159"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A significant number of our gaming customers at our Macau Operations come from mainland China. Continued economic disruption, contraction and uncertainty in China could further impact the number of patrons visiting our Macau Operations or the amount they may be willing to spend. In addition, policies adopted from time to time by the Chinese government, including any travel restrictions imposed by China on its citizens such as restrictions imposed on exit visas granted to residents of mainland China for travel to Macau, could disrupt the number of visitors from mainland China to our property. It is not known when, or if, policies similar to those implemented in 2009 restricting visitation by mainland Chinese citizens to Macau and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Hong Kong, will be put in place and travel policies may be adjusted, without notice, in the future. Furthermore, the Chinese government's ongoing anti-corruption campaign has influenced the behavior of Chinese consumers and their spending patterns both domestically and abroad. The campaign has specifically led to tighter monetary transfer regulations, including real time monitoring of certain financial channels, certain types of guidelines on cash withdrawals, which has disrupted, and may impact, the number of visitors and the amount of money they bring from mainland China to Macau. The overall effect of the campaign and monetary transfer restrictions may impact visitation and may continue to negatively affect our revenues and results of operations.</w:t>
      </w:r>
    </w:p>
    <w:p>
      <w:pPr>
        <w:spacing w:after="0" w:line="180" w:lineRule="exact"/>
        <w:rPr>
          <w:sz w:val="20"/>
          <w:szCs w:val="20"/>
          <w:color w:val="auto"/>
        </w:rPr>
      </w:pPr>
    </w:p>
    <w:p>
      <w:pPr>
        <w:ind w:right="120" w:firstLine="2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the willingness of our customers to travel. Acts or the threat of acts of terrorism, regional political events and developments in certain countries could cause severe disruptions in air travel that reduce the number of visitors to our facilities, resulting in a material adverse effect on our business and financial condition, results of operations or cash flows.</w:t>
      </w:r>
    </w:p>
    <w:p>
      <w:pPr>
        <w:spacing w:after="0" w:line="175"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are dependent on the willingness of our customers to travel. Only a small amount of our business is and will be generated by local residents. Most of our customers travel to reach our 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or cash flows.</w:t>
      </w:r>
    </w:p>
    <w:p>
      <w:pPr>
        <w:spacing w:after="0" w:line="184" w:lineRule="exact"/>
        <w:rPr>
          <w:sz w:val="20"/>
          <w:szCs w:val="20"/>
          <w:color w:val="auto"/>
        </w:rPr>
      </w:pPr>
    </w:p>
    <w:p>
      <w:pPr>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159"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currently entirely dependent upon our Macau Operations and Las Vegas Operations for all of our operating cash flow. As a result, we are subject to a greater degree of risk than a gaming company with more operating properties or greater geographic diversification. The risks to which we have a greater degree of exposure include the following:</w:t>
      </w:r>
    </w:p>
    <w:p>
      <w:pPr>
        <w:spacing w:after="0" w:line="176"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and competitive conditions;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state governmental laws and regulations, including gaming laws and regulations;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 including the outbreak of infectious diseases;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maintaining our properties;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number of visitors to Las Vegas or Macau;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and non-casino activities at our resorts.</w:t>
      </w:r>
    </w:p>
    <w:p>
      <w:pPr>
        <w:spacing w:after="0" w:line="207" w:lineRule="exact"/>
        <w:rPr>
          <w:sz w:val="20"/>
          <w:szCs w:val="20"/>
          <w:color w:val="auto"/>
        </w:rPr>
      </w:pPr>
    </w:p>
    <w:p>
      <w:pPr>
        <w:ind w:right="120" w:firstLine="423"/>
        <w:spacing w:after="0" w:line="313" w:lineRule="auto"/>
        <w:rPr>
          <w:sz w:val="20"/>
          <w:szCs w:val="20"/>
          <w:color w:val="auto"/>
        </w:rPr>
      </w:pPr>
      <w:r>
        <w:rPr>
          <w:rFonts w:ascii="Times New Roman" w:cs="Times New Roman" w:eastAsia="Times New Roman" w:hAnsi="Times New Roman"/>
          <w:sz w:val="18"/>
          <w:szCs w:val="18"/>
          <w:color w:val="auto"/>
        </w:rPr>
        <w:t>Any of the factors outlined above could negatively affect our results of operations and our ability to generate sufficient cash flow to make payments or maintain our covenants with respect to our debt.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a parent company and our primary source of cash is and will be distributions from our subsidiaries.</w:t>
      </w:r>
    </w:p>
    <w:p>
      <w:pPr>
        <w:spacing w:after="0" w:line="22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180"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casino, hotel, convention and other facilities face intense competition, which may increase in the future.</w:t>
      </w:r>
    </w:p>
    <w:p>
      <w:pPr>
        <w:spacing w:after="0" w:line="22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casino/hotel industry is highly competitive. Our Macau Operations face intense competition with approximately 36 other casinos currently operating in Macau. We hold a concession under one of only three gaming 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could have a material adverse effect on our business, financial condition, results of operations and cash flows. Several of the current concessionaires and subconcessionaires will open additional facilities in the Cotai area during 2017 and 2018. These Cotai facilities are expected to increase total hotel room inventory by approximately 12.3% from the current inventory and significantly increase other gaming and non-gaming offerings in Macau.</w:t>
      </w:r>
    </w:p>
    <w:p>
      <w:pPr>
        <w:spacing w:after="0" w:line="17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Macau Operations face competition from casinos located in other areas of Asia, such as Singapore, the Philippines and Malaysia. We also encounter competition from other major gaming centers located around the world, including Australia and Las Vegas, cruise ships in Asia that offer gaming, and other casinos throughout Asia. Further, if current efforts to legalize gaming in other Asian countries, such as Japan, are successful, we will face additional regional competition.</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Las Vegas Operations compete with other Las Vegas Strip hotels and with other hotel casinos in Las Vegas on the basis of overall atmosphere, range of amenities, level of service, price, location, entertainment, theme and size, among other factors.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Increased competition could result in a loss of customers, which may negatively affect our cash flows and results of operations.</w:t>
      </w:r>
    </w:p>
    <w:p>
      <w:pPr>
        <w:spacing w:after="0" w:line="221" w:lineRule="exact"/>
        <w:rPr>
          <w:sz w:val="20"/>
          <w:szCs w:val="20"/>
          <w:color w:val="auto"/>
        </w:rPr>
      </w:pPr>
    </w:p>
    <w:p>
      <w:pPr>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157" w:lineRule="exact"/>
        <w:rPr>
          <w:sz w:val="20"/>
          <w:szCs w:val="20"/>
          <w:color w:val="auto"/>
        </w:rPr>
      </w:pPr>
    </w:p>
    <w:p>
      <w:pPr>
        <w:jc w:val="both"/>
        <w:ind w:right="2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 significant portion of our table games revenue at our resorts is attributable to the play of a limited number of international customers.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reduction in the frequency of visits by and revenue generated from these customers.</w:t>
      </w:r>
    </w:p>
    <w:p>
      <w:pPr>
        <w:spacing w:after="0" w:line="182"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178"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Macau Operations. </w:t>
      </w:r>
      <w:r>
        <w:rPr>
          <w:rFonts w:ascii="Times New Roman" w:cs="Times New Roman" w:eastAsia="Times New Roman" w:hAnsi="Times New Roman"/>
          <w:sz w:val="18"/>
          <w:szCs w:val="18"/>
          <w:color w:val="auto"/>
        </w:rPr>
        <w:t>Although the law in Macau permits casino operators to extend credit to gaming customers, our Macau Operations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8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17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Las Vegas Operations. </w:t>
      </w:r>
      <w:r>
        <w:rPr>
          <w:rFonts w:ascii="Times New Roman" w:cs="Times New Roman" w:eastAsia="Times New Roman" w:hAnsi="Times New Roman"/>
          <w:sz w:val="18"/>
          <w:szCs w:val="18"/>
          <w:color w:val="auto"/>
        </w:rPr>
        <w:t>While gaming debts evidenced by a credit instrument, including what is commonly referred to as a "marker," are enforceable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Win rates for our gaming operations depend on a variety of factors, some of which are beyond our control.</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8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new projects may not be successful.</w:t>
      </w:r>
    </w:p>
    <w:p>
      <w:pPr>
        <w:spacing w:after="0" w:line="2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resorts we currently operate. The demands imposed by new developments on our managerial, operational and other resources may impact our operation of our existing resorts. If any of these issues were to occur, it could adversely affect our prospects, financial condition, or results of operations.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encounter substantial cost increases higher than expected in the development of our projects.</w:t>
      </w:r>
    </w:p>
    <w:p>
      <w:pPr>
        <w:spacing w:after="0" w:line="229"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We are currently constructing Wynn Boston Harbor in Everett, Massachusetts. The total project budget for Wynn Boston Harbor, including gaming license fees, construction costs, capitalized interest, pre-opening expenses and land costs, is estimated to be approximately $2.4 billion.</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projected development costs for Wynn Boston Harbor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this project may not be completed. Failure to complete this project may negatively affect our financial condition, our results of operations and our ability to pay our debt.</w:t>
      </w:r>
    </w:p>
    <w:p>
      <w:pPr>
        <w:spacing w:after="0" w:line="180" w:lineRule="exact"/>
        <w:rPr>
          <w:sz w:val="20"/>
          <w:szCs w:val="20"/>
          <w:color w:val="auto"/>
        </w:rPr>
      </w:pPr>
    </w:p>
    <w:p>
      <w:pPr>
        <w:ind w:right="10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Construction projects will be subject to development and construction risks, which could have an adverse effect on our financial condition, results of operations or cash flows.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Major construction projects of the scope and scale of Wynn Boston Harbor entail significant risks, including:</w:t>
      </w:r>
    </w:p>
    <w:p>
      <w:pPr>
        <w:spacing w:after="0" w:line="225"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 increases;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price increases in, materials or skilled labor;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plans and specifications;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inability to obtain requisite licenses, permits and authorizations from regulatory authorities;</w:t>
      </w:r>
    </w:p>
    <w:p>
      <w:pPr>
        <w:spacing w:after="0" w:line="9" w:lineRule="exact"/>
        <w:rPr>
          <w:rFonts w:ascii="Times New Roman" w:cs="Times New Roman" w:eastAsia="Times New Roman" w:hAnsi="Times New Roman"/>
          <w:sz w:val="18"/>
          <w:szCs w:val="18"/>
          <w:color w:val="auto"/>
        </w:rPr>
      </w:pPr>
    </w:p>
    <w:p>
      <w:pPr>
        <w:ind w:left="1300" w:right="100" w:hanging="644"/>
        <w:spacing w:after="0" w:line="250"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in the interpretation and enforcement of laws and regulations, applicable to gaming, leisure, real estate development or construction projects;</w:t>
      </w: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and/or geological problems;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work stoppages;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and defaults by contractors and subcontractors;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 to workers and other persons;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 health and safety issues, including site accidents;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interference from severe weather or natural disasters;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construction, excavation, regulatory and equipment problems;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construction equipment.</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118" w:right="29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20" w:firstLine="405"/>
        <w:spacing w:after="0" w:line="313" w:lineRule="auto"/>
        <w:rPr>
          <w:sz w:val="20"/>
          <w:szCs w:val="20"/>
          <w:color w:val="auto"/>
        </w:rPr>
      </w:pPr>
      <w:r>
        <w:rPr>
          <w:rFonts w:ascii="Times New Roman" w:cs="Times New Roman" w:eastAsia="Times New Roman" w:hAnsi="Times New Roman"/>
          <w:sz w:val="17"/>
          <w:szCs w:val="17"/>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Boston Harbor.</w:t>
      </w:r>
    </w:p>
    <w:p>
      <w:pPr>
        <w:spacing w:after="0" w:line="13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only some of the subcontractors engaged for these projects will post bonds guaranteeing timely completion of the subcontractor's work and payment for all of that subcontractor's labor and materials. These bonds may not be adequate to ensure completion of the work.</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Wynn Boston Harbor facility may not commence operations on schedule and construction costs for the project may exceed budgeted amounts.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complete the project on schedule or within budget may have a significant negative effect on us and on our ability to make payments on our debt.</w:t>
      </w:r>
    </w:p>
    <w:p>
      <w:pPr>
        <w:spacing w:after="0" w:line="203" w:lineRule="exact"/>
        <w:rPr>
          <w:sz w:val="20"/>
          <w:szCs w:val="20"/>
          <w:color w:val="auto"/>
        </w:rPr>
      </w:pPr>
    </w:p>
    <w:p>
      <w:pPr>
        <w:ind w:right="7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required to commence gaming operations at Wynn Boston Harbor by June 2020. If we are unable to meet this deadline, the Massachusetts Gaming Commission may suspend or revoke our gaming license.</w:t>
      </w:r>
    </w:p>
    <w:p>
      <w:pPr>
        <w:spacing w:after="0" w:line="15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Pursuant to the Gaming Act, the Company is required to commence gaming operations at Wynn Boston Harbor by June 2020, the date that is one year from our projected opening date of June 2019. If the Company is unable to meet the current deadline and is unable to obtain an extension of the deadline from the MGC, the MGC may suspend or revoke our gaming license and, if we are found by the MGC after a hearing to have acted in bad faith, we will be assessed a fine of up to $50,000,000. Failure to meet the deadline could have an adverse effect on our financial condition, results of operations or cash flows from this planned facility.</w:t>
      </w:r>
    </w:p>
    <w:p>
      <w:pPr>
        <w:spacing w:after="0" w:line="180" w:lineRule="exact"/>
        <w:rPr>
          <w:sz w:val="20"/>
          <w:szCs w:val="20"/>
          <w:color w:val="auto"/>
        </w:rPr>
      </w:pPr>
    </w:p>
    <w:p>
      <w:pPr>
        <w:ind w:right="1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5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Nevada Gaming Commission may require the holder of any debt or securities we or Wynn Las Vegas, LLC issue to file applications, be investigated and be found suitable to own Wynn Resorts' securities if it has reason to believe that the security ownership would be inconsistent with the declared policies of the State of Nevada.</w:t>
      </w:r>
    </w:p>
    <w:p>
      <w:pPr>
        <w:spacing w:after="0" w:line="18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and pursuant to the terms established by, the applicable gaming authority and, if not, as Wynn Resorts elects. On February 18, 2012, after receiving a report from Freeh, Sporkin &amp; Sullivan, LLP (the "Freeh Report") detailing numerous instances of conduct constituting prima facie violations of the Foreign Corrupt Practices Act (the "FCPA") by Kazuo Okada (formerly the largest beneficial owner of Wynn Resorts’ shares) and certain of his affiliates, the Board of Directors of Wynn Resorts determined that Aruze USA Inc. (“Aruze”), Universal Entertainment Corporation, and Mr. Kazuo Okada (collectively, the "Okada Parties") were "unsuitable" within the meaning of Article VII of Wynn Resorts' articles of incorporation and redeemed all of Aruze's shares of Wynn Resorts' common stock. See Item 8-"Financial Statements and Supplementary Data," Note 17 "Commitments and Contingencies."</w:t>
      </w:r>
    </w:p>
    <w:p>
      <w:pPr>
        <w:spacing w:after="0" w:line="18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Nevada and Massachusetts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84"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Our Macau Operations are subject to unique risks. Failure to adhere to the regulatory and gaming environment in Macau could result in the revocation of our Macau Operations' concession or otherwise negatively affect its operations in Macau. Moreover, we are subject to the risk that U.S. regulators could determine that Macau's gaming regulatory framework has not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developed in a way that would permit us to conduct operations in Macau in a manner consistent with the way in which we intend, or the Nevada gaming authorities require us, to conduct our operations in the United States.</w:t>
      </w:r>
    </w:p>
    <w:p>
      <w:pPr>
        <w:spacing w:after="0" w:line="158" w:lineRule="exact"/>
        <w:rPr>
          <w:sz w:val="20"/>
          <w:szCs w:val="20"/>
          <w:color w:val="auto"/>
        </w:rPr>
      </w:pPr>
    </w:p>
    <w:p>
      <w:pPr>
        <w:ind w:right="40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5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deal with significant amounts of cash in our operations and are subject to various jurisdictions’ reporting and anti-money laundering laws and regulations. Recently, both U.S. and Macau governmental authorities have increased their focus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8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such laws and regulations.</w:t>
      </w:r>
    </w:p>
    <w:p>
      <w:pPr>
        <w:spacing w:after="0" w:line="184"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8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Mr. Okada failed to comply with internal training in these matters and failed to return to Wynn Resorts an executed Acknowledgment agreeing to comply with the Wynn Resorts Code of Business Conduct and Ethics. On February 19, 2012, Wynn Resorts' filed a complaint in Nevada state court against Mr. Okada and other entities alleging, among other things, breach of fiduciary duty in connection with alleged violations of the FCPA. For information on such complaint, the Freeh Report, which detailed numerous instances of conduct constituting prima facie violations of FCPA by Mr. Okada and certain of his affiliates, and the redemption Aruze's shares, see Item 8-"Financial Statements and Supplementary Data," Note 17 "Commitments and Contingencies."</w:t>
      </w:r>
    </w:p>
    <w:p>
      <w:pPr>
        <w:spacing w:after="0" w:line="180" w:lineRule="exact"/>
        <w:rPr>
          <w:sz w:val="20"/>
          <w:szCs w:val="20"/>
          <w:color w:val="auto"/>
        </w:rPr>
      </w:pPr>
    </w:p>
    <w:p>
      <w:pPr>
        <w:ind w:right="5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5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84"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80"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Contamination has been identified at and in the vicinity of our site in Everett, Massachusetts. The ultimate cost of remediating contaminated sites is difficult to accurately predict and could exceed our current estimates. We may be required to conduct additional investigations and remediation with respect to this site. As a result, we also could incur material costs in excess of our estimates as a result of additional cleanup obligations imposed or contamination identified in the future. Our proposed expenditures related to environmental matters are not currently expected to have a material adverse effect on our business, financial condition or results of operations. However, the environmental laws under which we operate are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complicated and often increasingly more stringent, and may be applied retroactively. Accordingly, we may be required to make additional expenditures to remain in, or to achieve compliance with, environmental laws in the future.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changing laws and regulations may result in additional expenses and compliance risks.</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by various governments and agencies. The rate of taxation could change.</w:t>
      </w:r>
    </w:p>
    <w:p>
      <w:pPr>
        <w:spacing w:after="0" w:line="22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We are subject to tax by various governments and agencies, both in the U.S. and in Macau. Changes in the rates of taxation, the amount of taxes we owe and the time when income is subject to taxation, our ability to claim U.S. foreign tax credits, failure to renew our Macau dividend agreement and Macau income tax exemption and the imposition of foreign withholding taxes could increase our overall rate of taxation.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Potential violations of law by Mr. Okada and his affiliates could have adverse consequences to the Company.</w:t>
      </w:r>
    </w:p>
    <w:p>
      <w:pPr>
        <w:spacing w:after="0" w:line="22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The Freeh Reported detailed numerous instances of conduct constituting prima facie violations of the FCPA by Mr. Okada and certain of his affiliates. See Item 8-"Financial Statements and Supplementary Data," Note 17 "Commitments and Contingencies." The Company has provided the Freeh Report to applicable regulators and has been cooperating with related investigations of such regulators. The conduct of Mr. Okada and his affiliates and the outcome of any resulting regulatory findings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have and may pursue separate investigations into the Company's compliance with applicable laws in connection with the Okada matter, as discussed in Item 8-"Financial Statements and Supplementary Data," Note 17 "Commitments and Contingencies." While the Company believes that it is in full compliance with all applicable laws, any such investigations could result in actions by regulators against the Company, which could negatively affect the Company's financial condition or results of operations.</w:t>
      </w:r>
    </w:p>
    <w:p>
      <w:pPr>
        <w:spacing w:after="0" w:line="185"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Mr. Okada and his affiliates have challenged the redemption of Aruze's Shares. An adverse judgment or settlement resulting from the related litigation could reduce our profits or limit our ability to operate our business.</w:t>
      </w:r>
    </w:p>
    <w:p>
      <w:pPr>
        <w:spacing w:after="0" w:line="15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7"/>
          <w:szCs w:val="17"/>
          <w:color w:val="auto"/>
        </w:rPr>
        <w:t>On February 18, 2012, Wynn Resorts' Gaming Compliance Committee received the Freeh Report detailing a pattern of misconduct by the Okada Parties. After receiving the Freeh Report, the Board of Directors of Wynn Resorts determined that each of the Okada Parties was "unsuitable" within the meaning of Article VII of Wynn Resorts' articles of incorporation and redeemed all of Aruze's shares of Wynn Resorts' common stock. See Item 8-"Financial Statements and Supplementary Data," Note 17 "Commitments and Contingencies." 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 On March 12, 2012, the Okada Parties filed an answer denying the claims and a counterclaim (as amended, the "Counterclaim") against the Company, each of the members of the Company's Board of Directors (other than Mr. Okada) and Wynn Resorts' General Counsel (collectively, the "Wynn Parties"), seeking, among other things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P. Wynn (the "Stockholders Agreement"). In connection with the Redemption Action and Counterclaim (1) various Okada Parties filed a complaint in the Tokyo District Court against the Company, all members of the Board of Directors (other than Mr. Okada) and the Company's General Counsel alleging that the press release issued by the Company in connection with the Redemption Action has damaged their social evaluation and credibility and seeking damages and legal fees, (2) four federal derivative actions were commenced against the Company and all members of its Board of Directors,</w:t>
      </w:r>
    </w:p>
    <w:p>
      <w:pPr>
        <w:spacing w:after="0" w:line="10" w:lineRule="exact"/>
        <w:rPr>
          <w:sz w:val="20"/>
          <w:szCs w:val="20"/>
          <w:color w:val="auto"/>
        </w:rPr>
      </w:pPr>
    </w:p>
    <w:p>
      <w:pPr>
        <w:ind w:right="180" w:firstLine="8"/>
        <w:spacing w:after="0" w:line="261"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state derivative actions were commenced against the Company and all members of its Board of Directors, (4) regulatory inquiries and investigations were initiated against the Company, and (5) the Okada Parties filed a complaint in the Court of First Instance of Macau (against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Wynn Macau SA and certain individuals who are or were directors of Wynn Macau SA and/or Wynn Macau, Limited). See Item 8-"Financial Statements and Supplementary Data," Note 17 "Commitments and Contingencies," for a full description of these matters and status as of the date of this report. The Company is vigorously pursuing its claims against the Okada Parties, and together with the other counter-defendants, vigorously defending against the Counterclaim and other actions asserted against them. However, as with all litigation, the outcome of these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 in valuation of our Redemption Price Promissory Note could have a negative impact on our financial results.</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record the Redemption Note at fair value in accordance with applicable accounting guidance. As of December 31, 2016 and 2015, the fair value of the Redemption Note was $1.82 billion and $1.88 billion, respectively. In determining this fair value, we estimated the Redemption Note's present value using discounted cash flows with a probability-weighted expected return for redemption assumptions and a discount rate, which included time value and non-performance risk adjustments commensurate with the risk of the Redemption Note.</w:t>
      </w:r>
    </w:p>
    <w:p>
      <w:pPr>
        <w:spacing w:after="0" w:line="1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Item 8-"Financial Statements and Supplementary Data," Note 17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9"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determination of the appropriate discount rate to be used in the estimated present value, the Redemption Note's subordinated position and credit risk relative to all other debt in our capital structure and credit ratings associated with our traded debt were considered. Observable inputs for the risk free rate were based on Federal Reserve rates for U.S. Treasury securities and the credit risk spread was based on a yield curve index of similarly rated debt.</w:t>
      </w:r>
    </w:p>
    <w:p>
      <w:pPr>
        <w:spacing w:after="0" w:line="176"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A change in any of the assumptions discussed above could result in a change in the fair value of this Redemption Note and significantly impact our financial results.</w:t>
      </w:r>
    </w:p>
    <w:p>
      <w:pPr>
        <w:spacing w:after="0" w:line="158" w:lineRule="exact"/>
        <w:rPr>
          <w:sz w:val="20"/>
          <w:szCs w:val="20"/>
          <w:color w:val="auto"/>
        </w:rPr>
      </w:pPr>
    </w:p>
    <w:p>
      <w:pPr>
        <w:ind w:right="3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litigation and other disputes with Mr. Okada and certain of his affiliates, as well as claims by Ms. Wynn, could distract management and result in negative publicity and additional scrutiny from regulators.</w:t>
      </w:r>
    </w:p>
    <w:p>
      <w:pPr>
        <w:spacing w:after="0" w:line="15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There has been widespread publicity of the findings in the Freeh Report of prima facie violations of law by Mr. Okada and his affiliates, the Board of Directors’ unsuitability finding, the redemption of shares and related litigation. The actions, litigation, and publicity could reduce demand for shares of Wynn Resorts and Wynn Macau, Limited and thereby have a negative impact on the trading prices of their respective shares. In addition, Elaine P. Wynn has asserted various claims against Mr. Wynn, the Company and various Company officers, which have and may continue to draw adverse publicity or impugn the Company’s reputation. Ongoing litigation and other disputes can be expensive to defend and may divert management’s attention from the operations of our businesses. The disputes may also lead to additional scrutiny from regulators, which could lead to investigations relating to, and possibly a negative impact on, the Company's gaming licenses, and possibly have a negative impact on the Company's ability to bid successfully for new gaming market opportunities.</w:t>
      </w:r>
    </w:p>
    <w:p>
      <w:pPr>
        <w:spacing w:after="0" w:line="181"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5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face risks relating to cybersecurity similar to ours, and we do not directly control any of such parties'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results of operations and cash flows.</w:t>
      </w:r>
    </w:p>
    <w:p>
      <w:pPr>
        <w:spacing w:after="0" w:line="180"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w:t>
      </w:r>
    </w:p>
    <w:p>
      <w:pPr>
        <w:spacing w:after="0" w:line="180"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15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"WYNN MACAU," "WYNN PALACE" and "ENCORE." Some of the applications are based upon ongoing use and others are based upon a bona fide intent to use the marks in the future.</w:t>
      </w:r>
    </w:p>
    <w:p>
      <w:pPr>
        <w:spacing w:after="0" w:line="18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80"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62"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84" w:lineRule="exact"/>
        <w:rPr>
          <w:sz w:val="20"/>
          <w:szCs w:val="20"/>
          <w:color w:val="auto"/>
        </w:rPr>
      </w:pPr>
    </w:p>
    <w:p>
      <w:pPr>
        <w:ind w:right="50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5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118" w:right="27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Macau Operations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Macau Operations may be affected by adverse political and economic conditions.</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Macau Operations, including Wynn Palace, are subject to significant political, economic and social risks inherent in doing business in an emerging market. Macau's legislative, regulatory, legal, economic and cultural institutions are in a period of transition. The future success of our Macau Operations will depend on political and economic conditions in Macau and mainland China.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ability to repatriate funds.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limited labor resources in Macau and Macau government policies may also affect our ability to employ imported labor.</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success of our operations in Macau will be affected by our success in hiring and retaining employees. We compete with a large number of casino resorts in Macau for a limited number of qualified employees. In addition, the Macau government requires that we only hire Macau residents as dealers in our casinos. Competition for these individuals in Macau has increased and will continue to increase as other competitors expand their operations. We have to seek employees from other countries to adequately staff our resort and certain Macau government policies affect our ability to import labor in certain job classifications. Despite our coordination with the Macau labor and immigration authorities to assure that our labor needs are satisfied, we may not be able to recruit and retain a sufficient number of qualified employees for our operations or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or cash flows.</w:t>
      </w:r>
    </w:p>
    <w:p>
      <w:pPr>
        <w:spacing w:after="0" w:line="181" w:lineRule="exact"/>
        <w:rPr>
          <w:sz w:val="20"/>
          <w:szCs w:val="20"/>
          <w:color w:val="auto"/>
        </w:rPr>
      </w:pPr>
    </w:p>
    <w:p>
      <w:pPr>
        <w:ind w:right="44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15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Prior to the opening of Wynn Palace, the DICJ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transfer table games between Wynn Macau and Wynn Palace, subject to the aggregate cap, to optimize our casino operations. As of February 15, 2017, we had a total of 303 table games at Wynn Macau and 304 at Wynn Palace.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smoking control legislation in Macau could have an adverse effect on our business, financial condition, results of operations or cash flows.</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2014, the Macau government approved additional smoking control legislation, which prohibited smoking in casinos starting on October 6, 2014. The legislation, however, permits casinos to maintain certain limited smoking areas open to VIP patrons if such areas are within restricted access areas, comply with certain square footage ratios based on overall gaming area square footage and comply with the conditions set out in the Dispatch of the Chief Executive, dated November 1, 2012, as amended by the Dispatch of the Chief Executive, dated June 3, 2014. Prior public announcements by the Macau government indicated that the Macau government intended to pursue a full smoking ban within all Macau casinos, but in February 2017, Macau's Health Bureau proposed not pursuing a full ban and permitting casinos to have smoking lounges constructed in accordance with certain stringent technical standards still to be determined. The existing smoking legislation, and any smoking legislation intended to fully ban all smoking in casinos, may deter potential gaming customers who are smokers from frequenting casinos in Macau and disrupt the number of patrons visiting or the amount of time visiting patrons spend at our property, which could have a material adverse effect on our business, financial condition, results of operations and cash flows.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Macau may not have an adequate transportation infrastructure to accommodate the demand of visitors to Macau.</w:t>
      </w:r>
    </w:p>
    <w:p>
      <w:pPr>
        <w:spacing w:after="0" w:line="2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Because of additional casino projects which are under construction and to be developed in the future, the ferry and helicopter services which provide transportation between Macau, Hong Kong, and mainland China may need to be expanded to accommodate the increased visitation to Macau.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future casino projects, as well as any future infrastructure projects, adjacent to our properties could impede access to our properties during construction and development. This may negatively impact the results of our Macau Operations.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may have an adverse impact on our Macau Operations.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Macau's subtropical climate and location on the South China Sea are subject to extreme weather conditions including typhoons and heavy rainstorms.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weather conditions could negatively affect the profitability of our resorts and prevent or discourage guests from traveling to Macau.</w:t>
      </w:r>
    </w:p>
    <w:p>
      <w:pPr>
        <w:spacing w:after="0" w:line="203" w:lineRule="exact"/>
        <w:rPr>
          <w:sz w:val="20"/>
          <w:szCs w:val="20"/>
          <w:color w:val="auto"/>
        </w:rPr>
      </w:pPr>
    </w:p>
    <w:p>
      <w:pPr>
        <w:ind w:right="5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 from our Macau gaming operations will end if we cannot secure an extension of our concession in 2022 or if the Macau government exercises its redemption right beginning in 2017.</w:t>
      </w:r>
    </w:p>
    <w:p>
      <w:pPr>
        <w:spacing w:after="0" w:line="15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concession agreement with the Macau government expires in June 2022. Unless our concession is extended, in June 2022, all of our gaming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may not be able to renew or extend our concession agreement on terms favorable to us or at all and, if our concession is redeemed, the compensation paid to us may not be adequate to compensate us for the loss of future revenues. The redemption of or failure to extend our concession would have a material adverse effect on our results of operations.</w:t>
      </w:r>
    </w:p>
    <w:p>
      <w:pPr>
        <w:spacing w:after="0" w:line="181"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Macau Operations fail to comply with the concession agreement, the Macau government can terminate our concession without compensation to us, which would have a material adverse effect on our business and financial condition.</w:t>
      </w:r>
    </w:p>
    <w:p>
      <w:pPr>
        <w:spacing w:after="0" w:line="15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of our Macau Operations if it:</w:t>
      </w:r>
    </w:p>
    <w:p>
      <w:pPr>
        <w:spacing w:after="0" w:line="176"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gaming operations in Macau for more than seven consecutive days (or more than 14 days in a civil year) without justification;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payment of taxes, premiums, contributions or other required amounts;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subject of bankruptcy proceedings or becomes insolvent;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violates applicable gaming laws.</w:t>
      </w:r>
    </w:p>
    <w:p>
      <w:pPr>
        <w:spacing w:after="0" w:line="207"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Certain Nevada gaming laws apply to our Macau Operations' gaming activities and associations.</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the State of Nevada. With respect to our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180"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 any Macau laws relating to their Macau gaming operations;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conduct our Macau Operations in accordance with the standards of honesty and integrity required of Nevada gaming operations;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is unsuitable for us because it poses an unreasonable</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1300" w:right="180"/>
        <w:spacing w:after="0" w:line="284" w:lineRule="auto"/>
        <w:rPr>
          <w:sz w:val="20"/>
          <w:szCs w:val="20"/>
          <w:color w:val="auto"/>
        </w:rPr>
      </w:pPr>
      <w:r>
        <w:rPr>
          <w:rFonts w:ascii="Times New Roman" w:cs="Times New Roman" w:eastAsia="Times New Roman" w:hAnsi="Times New Roman"/>
          <w:sz w:val="18"/>
          <w:szCs w:val="18"/>
          <w:color w:val="auto"/>
        </w:rPr>
        <w:t>threat to the control of gaming in Nevada, reflects or tends to reflect discredit or disrepute upon the State of Nevada or gaming in Nevada, or is contrary to Nevada gaming policies;</w:t>
      </w:r>
    </w:p>
    <w:p>
      <w:pPr>
        <w:spacing w:after="0" w:line="1"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interferes with the ability of the State of Nevada to collect gaming taxes and fees; or</w:t>
      </w:r>
    </w:p>
    <w:p>
      <w:pPr>
        <w:spacing w:after="0" w:line="22"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0"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6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85" w:lineRule="exact"/>
        <w:rPr>
          <w:sz w:val="20"/>
          <w:szCs w:val="20"/>
          <w:color w:val="auto"/>
        </w:rPr>
      </w:pPr>
    </w:p>
    <w:p>
      <w:pPr>
        <w:ind w:right="2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159"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We may lose the clientele of our gaming promoters, who generate a significant portion of our gaming revenue. There is intense competition among casino operators in Macau for services provided by gaming promoters, which has intensified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VIP customers. In addition, if our gaming promoters are unable to develop or maintain relationships with our VIP customers, our ability to maintain or grow our gaming revenues will be hampered.</w:t>
      </w:r>
    </w:p>
    <w:p>
      <w:pPr>
        <w:spacing w:after="0" w:line="184" w:lineRule="exact"/>
        <w:rPr>
          <w:sz w:val="20"/>
          <w:szCs w:val="20"/>
          <w:color w:val="auto"/>
        </w:rPr>
      </w:pPr>
    </w:p>
    <w:p>
      <w:pPr>
        <w:ind w:right="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resources of our gaming promoters may be insufficient to allow them to continue doing business in Macau which could adversely affect our business and financial condition. Our gaming promoters may experience difficulty in attracting patrons.</w:t>
      </w:r>
    </w:p>
    <w:p>
      <w:pPr>
        <w:spacing w:after="0" w:line="15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Given present market conditions in Macau and certain economic and other factors occurring in the region, gaming promoters are encountering difficulties in attracting patrons to come to Macau. Further, gaming promoters are experiencing decreased liquidity, limiting their ability to grant credit to their patrons, resulting in decreased gaming volume in Macau and at our Macau Operations. Credit already extended by our gaming promoters to their patrons has become difficult for them to collect. The inability to attract sufficient patrons, grant credit and collect amounts due in a timely manner are negatively affecting our gaming promoters' operations, causing gaming promoters to wind up or liquidate their operations or resulting in some of our gaming promoters leaving Macau. Current and any future difficulties could have an adverse impact on our results of operations.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for the services of gaming promoters may require us to pay increased commission rates to gaming promoters.</w:t>
      </w:r>
    </w:p>
    <w:p>
      <w:pPr>
        <w:spacing w:after="0" w:line="229"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Certain gaming promoters have significant leverage and bargaining strength in negotiating operational agreements with casino operators. This leverage could result in gaming promoters negotiating changes to our operational agreements, including 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15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 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w:t>
      </w:r>
    </w:p>
    <w:p>
      <w:pPr>
        <w:spacing w:after="0" w:line="181" w:lineRule="exact"/>
        <w:rPr>
          <w:sz w:val="20"/>
          <w:szCs w:val="20"/>
          <w:color w:val="auto"/>
        </w:rPr>
      </w:pPr>
    </w:p>
    <w:p>
      <w:pPr>
        <w:ind w:right="5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15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changes in Chinese governmental policies and international economic and political developments.</w:t>
      </w:r>
    </w:p>
    <w:p>
      <w:pPr>
        <w:spacing w:after="0" w:line="18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Because many of our Macau Operations payment and expenditure obligations are in Macau patacas, in the event of unfavorable Macau pataca or Hong Kong dollar rate changes, our Macau Operations’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its debt.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controls and currency export restrictions could negatively impact our Macau Operations.</w:t>
      </w:r>
    </w:p>
    <w:p>
      <w:pPr>
        <w:spacing w:after="0" w:line="22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our Macau Operations.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Macau subsidiaries' indebtedness is secured by a substantial portion of their assets.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only then would holders of our Macau subsidiaries' unsecured debt be entitled to payment from their remaining assets.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and officers are also directors of Wynn Macau, Limited.</w:t>
      </w:r>
    </w:p>
    <w:p>
      <w:pPr>
        <w:spacing w:after="0" w:line="229"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Wynn Macau, Limited, an indirect wholly owned subsidiary of Wynn Resorts and the developer, owner and operator of Wynn Macau and Wynn Palace, listed its ordinary shares of common stock on The Stock Exchange of Hong Kong Limited in October 2009. As of December 31, 2016,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Share Ownership and Stockholder Matters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stockholders are able to exert significant influence over our operations and future direction.</w:t>
      </w:r>
    </w:p>
    <w:p>
      <w:pPr>
        <w:spacing w:after="0" w:line="229" w:lineRule="exact"/>
        <w:rPr>
          <w:sz w:val="20"/>
          <w:szCs w:val="20"/>
          <w:color w:val="auto"/>
        </w:rPr>
      </w:pPr>
    </w:p>
    <w:p>
      <w:pPr>
        <w:ind w:right="180" w:firstLine="405"/>
        <w:spacing w:after="0" w:line="289" w:lineRule="auto"/>
        <w:rPr>
          <w:sz w:val="20"/>
          <w:szCs w:val="20"/>
          <w:color w:val="auto"/>
        </w:rPr>
      </w:pPr>
      <w:r>
        <w:rPr>
          <w:rFonts w:ascii="Times New Roman" w:cs="Times New Roman" w:eastAsia="Times New Roman" w:hAnsi="Times New Roman"/>
          <w:sz w:val="17"/>
          <w:szCs w:val="17"/>
          <w:color w:val="auto"/>
        </w:rPr>
        <w:t>As of December 31, 2016, Mr. Wynn and Elaine P. Wynn owned 12,000,000 shares and 9,611,927 shares, respectively, or in the aggregate approximately 21.2%, of our outstanding common stock. As a result, Mr. Wynn and Elaine P. Wynn, to the extent they vote their shares in a similar manner, may be able to exert significant influence over all matters requiring our stockholders' approval, including the approval of significant corporate transactions.</w:t>
      </w:r>
    </w:p>
    <w:p>
      <w:pPr>
        <w:spacing w:after="0" w:line="15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Under the Stockholders Agreement, Mr. Wynn and Elaine P. Wynn have agreed to vote the shares of Wynn Resorts’ common stock held by them that are subject to the terms of the Stockholders Agreement in a manner so as to elect to our Board of Directors each of the nominees contained on each and every slate of directors endorsed by Mr. Wynn. As a result of this voting arrangement, Mr. Wynn, as a practical matter, exercises significant influence over the slate of directors to be elected to Wynn Resorts’ Board of Directors. In addition, with stated exceptions, the Stockholders Agreement requires the written consent of the other party prior to any party selling any shares of Wynn Resorts’ common stock that it owns.</w:t>
      </w:r>
    </w:p>
    <w:p>
      <w:pPr>
        <w:spacing w:after="0" w:line="184"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June 2012, in connection with the pending litigation between the Company and Aruze, Elaine P. Wynn submitted a cross claim against Mr. Wynn and Mr. Okada seeking to void the Stockholders Agreement, which, if successful, could result in a change in control under the Wynn Las Vegas, LLC debt documents. For additional information on the cross claim, see Item 8-"Financial Statements and Supplementary Data," Note 17 "Commitments and Contingencies."</w:t>
      </w:r>
    </w:p>
    <w:p>
      <w:pPr>
        <w:spacing w:after="0" w:line="18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November 2006, the Board of Directors of Wynn Resorts approved an amendment of its bylaws that exempts future acquisitions of shares of Wynn Resorts' common stock by either Mr. Wynn or Aruze from Nevada's acquisition of controlling interest statutes. In light of the determination by the Board of Directors on February 18, 2012 that each of the Okada Parties is an "Unsuitable Person" under the Company's articles of incorporation and the redemption and cancellation of Aruze's shares of Company common stock, our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 third,</w:t>
      </w:r>
    </w:p>
    <w:p>
      <w:pPr>
        <w:spacing w:after="0" w:line="1" w:lineRule="exact"/>
        <w:rPr>
          <w:sz w:val="20"/>
          <w:szCs w:val="20"/>
          <w:color w:val="auto"/>
        </w:rPr>
      </w:pPr>
    </w:p>
    <w:p>
      <w:pPr>
        <w:ind w:right="120" w:firstLine="8"/>
        <w:spacing w:after="0" w:line="254"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 (iii) a majority or more, of the voting power in the election of directors. As a result of these bylaws provisions, Mr. Wynn or his affiliates may acquire ownership of outstanding voting shares of Wynn Resorts permitting him or them to exercise more than one-third but less than a majority, or a majority or more, of all of the voting power of the Company in the election of directors, without requiring a resolution of the Company's stockholders granting voting rights in the control shares acquired.</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225" w:lineRule="exact"/>
        <w:rPr>
          <w:sz w:val="20"/>
          <w:szCs w:val="20"/>
          <w:color w:val="auto"/>
        </w:rPr>
      </w:pPr>
    </w:p>
    <w:p>
      <w:pPr>
        <w:ind w:right="60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leveraged and future cash flow may not be sufficient for us to meet our obligations, and we might have difficulty obtaining more financing.</w:t>
      </w:r>
    </w:p>
    <w:p>
      <w:pPr>
        <w:spacing w:after="0" w:line="15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have a substantial amount of consolidated debt in relation to our equity. As of December 31, 2016, we had total outstanding debt of approximately $10.13 billion, which includes a portion of the funds we expect to need for the development and construction of our current projects. We may, however, incur additional indebtedness in connection with the construction 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these projects. See Item 1-"Business," "Construction and Development Opportunities". In addition, we are permitted to incur additional indebtedness if certain conditions are met, including conditions under our Wynn Macau credit facilities, our Wynn America credit facilities and our Wynn Las Vegas, LLC indentures in connection with other future potential development plans. On February 18, 2012, we issued a Redemption Note with a principal amount of approximately $1.94 billion in redemption of all of the shares of Wynn Resorts common stock held by Aruze. As of December 31, 2016, the fair value of the Redemption Note was $1.82 billion. For additional information on the redemption and the Redemption Note, see Item 8-"Financial Statements and Supplementary Data," Note 17 "Commitments and Contingencies."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indebtedness could have important consequences. For example:</w:t>
      </w:r>
    </w:p>
    <w:p>
      <w:pPr>
        <w:spacing w:after="0" w:line="225" w:lineRule="exact"/>
        <w:rPr>
          <w:sz w:val="20"/>
          <w:szCs w:val="20"/>
          <w:color w:val="auto"/>
        </w:rPr>
      </w:pPr>
    </w:p>
    <w:p>
      <w:pPr>
        <w:ind w:left="130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ind w:left="1300" w:right="160" w:hanging="644"/>
        <w:spacing w:after="0" w:line="265"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indebtedness requires a substantial portion of our cash flow from the operations of our Las Vegas and Macau Operations and reduces the amount of available cash, if any, to fund working capital and other cash requirements or pay for other capital expenditures;</w:t>
      </w:r>
    </w:p>
    <w:p>
      <w:pPr>
        <w:ind w:left="1300" w:right="60" w:hanging="644"/>
        <w:spacing w:after="0" w:line="250"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Okada Parties have challenged the redemption of Aruze's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8-"Financial Statements and Supplementary Data," Note 17 "Commitments and Contingencies";</w:t>
      </w:r>
    </w:p>
    <w:p>
      <w:pPr>
        <w:spacing w:after="0" w:line="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financing, if needed; and</w:t>
      </w:r>
    </w:p>
    <w:p>
      <w:pPr>
        <w:spacing w:after="0" w:line="9" w:lineRule="exact"/>
        <w:rPr>
          <w:rFonts w:ascii="Times New Roman" w:cs="Times New Roman" w:eastAsia="Times New Roman" w:hAnsi="Times New Roman"/>
          <w:sz w:val="18"/>
          <w:szCs w:val="18"/>
          <w:color w:val="auto"/>
        </w:rPr>
      </w:pPr>
    </w:p>
    <w:p>
      <w:pPr>
        <w:ind w:left="1300" w:right="22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with respect to a portion of the interest we pay will fluctuate with market rates and, accordingly, our interest expense will increase if market interest rates increase.</w:t>
      </w:r>
    </w:p>
    <w:p>
      <w:pPr>
        <w:spacing w:after="0" w:line="180"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58" w:lineRule="exact"/>
        <w:rPr>
          <w:sz w:val="20"/>
          <w:szCs w:val="20"/>
          <w:color w:val="auto"/>
        </w:rPr>
      </w:pPr>
    </w:p>
    <w:p>
      <w:pPr>
        <w:ind w:right="20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5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9 "Long-Term Debt." Future indebtedness or other contracts could contain covenants more restrictive than those contained in our existing debt facilities.</w:t>
      </w:r>
    </w:p>
    <w:p>
      <w:pPr>
        <w:spacing w:after="0" w:line="18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176"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repurchase equity;</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of, or member's interests in, subsidiaries;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of control;</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otherwise dispose of assets;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disqualified stock;</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Land Concessions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government of Macau owns most of the land in Macau. In most cases, private interests in real property located in Macau are obtained through long-term leases known as concessions and other grants of rights to use land from the government.</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Wynn Macau</w:t>
      </w:r>
      <w:r>
        <w:rPr>
          <w:rFonts w:ascii="Times New Roman" w:cs="Times New Roman" w:eastAsia="Times New Roman" w:hAnsi="Times New Roman"/>
          <w:sz w:val="18"/>
          <w:szCs w:val="18"/>
          <w:color w:val="auto"/>
        </w:rPr>
        <w:t>. In July 2004, Wynn Macau SA, entered into a land concession contract under which Wynn Macau SA leases from the Macau government approximately 16 acres of land in downtown Macau's inner harbor area where Wynn Macau is located. The term of the land concession contract is 25 years from August 2004, and it may be renewed with government approval for successive periods.</w:t>
      </w:r>
    </w:p>
    <w:p>
      <w:pPr>
        <w:spacing w:after="0" w:line="176" w:lineRule="exact"/>
        <w:rPr>
          <w:sz w:val="20"/>
          <w:szCs w:val="20"/>
          <w:color w:val="auto"/>
        </w:rPr>
      </w:pPr>
    </w:p>
    <w:p>
      <w:pPr>
        <w:ind w:right="260" w:firstLine="432"/>
        <w:spacing w:after="0" w:line="281" w:lineRule="auto"/>
        <w:rPr>
          <w:sz w:val="20"/>
          <w:szCs w:val="20"/>
          <w:color w:val="auto"/>
        </w:rPr>
      </w:pPr>
      <w:r>
        <w:rPr>
          <w:rFonts w:ascii="Times New Roman" w:cs="Times New Roman" w:eastAsia="Times New Roman" w:hAnsi="Times New Roman"/>
          <w:sz w:val="17"/>
          <w:szCs w:val="17"/>
          <w:u w:val="single" w:color="auto"/>
          <w:color w:val="auto"/>
        </w:rPr>
        <w:t>Wynn Palace</w:t>
      </w:r>
      <w:r>
        <w:rPr>
          <w:rFonts w:ascii="Times New Roman" w:cs="Times New Roman" w:eastAsia="Times New Roman" w:hAnsi="Times New Roman"/>
          <w:sz w:val="17"/>
          <w:szCs w:val="17"/>
          <w:color w:val="auto"/>
        </w:rPr>
        <w:t>. In September 2011, Palo Real Estate Company Limited ("Palo"), a subsidiary of Wynn Macau SA, and Wynn Macau SA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The term of the land concession contract is 25 years from May 2012, and it may be renewed with government approval for successive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Land</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own approximately 238 acres of land on or near the Las Vegas Strip consisting of approximately 75 acres at the northeast corner of the intersection of Las Vegas Boulevard and Sands Avenue, on which Wynn Las Vegas is located, the approximately 140-acre golf course behind Wynn Las Vegas, approximately five acres adjacent to the golf course upon which an office building is located, and approximately 18 acres located across from the Wynn Las Vegas site at Koval Lane and Sands Avenue, a portion of which is improved with an employee parking garage and an office building.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Water Rights</w:t>
      </w:r>
    </w:p>
    <w:p>
      <w:pPr>
        <w:spacing w:after="0" w:line="229" w:lineRule="exact"/>
        <w:rPr>
          <w:sz w:val="20"/>
          <w:szCs w:val="20"/>
          <w:color w:val="auto"/>
        </w:rPr>
      </w:pPr>
    </w:p>
    <w:p>
      <w:pPr>
        <w:ind w:right="100" w:firstLine="432"/>
        <w:spacing w:after="0" w:line="289" w:lineRule="auto"/>
        <w:rPr>
          <w:sz w:val="20"/>
          <w:szCs w:val="20"/>
          <w:color w:val="auto"/>
        </w:rPr>
      </w:pPr>
      <w:r>
        <w:rPr>
          <w:rFonts w:ascii="Times New Roman" w:cs="Times New Roman" w:eastAsia="Times New Roman" w:hAnsi="Times New Roman"/>
          <w:sz w:val="17"/>
          <w:szCs w:val="17"/>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Land</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own approximately 33 acres of land along the Mystic River in Everett, Massachusetts, adjacent to Boston, which is the project site for Wynn Boston Harbor, our integrated resort that is currently under construction. The resort will contain a hotel, a waterfront boardwalk, meeting and convention space, casino space, a spa, retail offerings and food and beverage outlets.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Please see Item 8—"Financial Statements and Supplementary Data," Note 17 "Commitments and Contingencies— Litigation" in this Annual Report on Form 10-K, which is incorporated herein by reference. For additional information, please see Item 8—"Financial Statements and Supplementary Data" as well as Item 1A—"Risk Factors" in this Annual Report on Form 10-K.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CCAC Information Request</w:t>
      </w:r>
    </w:p>
    <w:p>
      <w:pPr>
        <w:spacing w:after="0" w:line="22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July 2014, Wynn Macau SA was contacted by the Commission Against Corruption of Macau ("CCAC") requesting certain information related to its land in the Cotai area of Macau. Wynn Macau SA is cooperating with CCAC's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00"/>
          </w:cols>
          <w:pgMar w:left="240" w:top="118" w:right="3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Quarter (through February 15, 2017)</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49.95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85.72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82.51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121.53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52.26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50.96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approximately 185 holders of record of our common stock as of February 15,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certain key subsidiaries, including Wynn Las Vegas, LLC, Wynn America, LLC and Wynn Macau SA, from making dividends or distributions to Wynn Resorts. These restrictions are subject to certain exceptions for affiliated overhead expenses as defined in the agreements governing the debt instruments, unless certain financial and non-financial criteria have been satisfied.</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February 2016, May 2016, August 2016, and November 2016, the Company paid a cash dividend of $0.50 per share.</w:t>
      </w:r>
    </w:p>
    <w:p>
      <w:pPr>
        <w:spacing w:after="0" w:line="225" w:lineRule="exact"/>
        <w:rPr>
          <w:sz w:val="20"/>
          <w:szCs w:val="20"/>
          <w:color w:val="auto"/>
        </w:rPr>
      </w:pPr>
    </w:p>
    <w:p>
      <w:pPr>
        <w:ind w:left="60" w:right="360" w:firstLine="405"/>
        <w:spacing w:after="0" w:line="282" w:lineRule="auto"/>
        <w:rPr>
          <w:sz w:val="20"/>
          <w:szCs w:val="20"/>
          <w:color w:val="auto"/>
        </w:rPr>
      </w:pPr>
      <w:r>
        <w:rPr>
          <w:rFonts w:ascii="Times New Roman" w:cs="Times New Roman" w:eastAsia="Times New Roman" w:hAnsi="Times New Roman"/>
          <w:sz w:val="18"/>
          <w:szCs w:val="18"/>
          <w:color w:val="auto"/>
        </w:rPr>
        <w:t>In February 2015, we paid a cash dividend of $1.50 per share. In each of May 2015, August 2015, and November 2015, we paid a cash dividend of $0.50 per share.</w:t>
      </w:r>
    </w:p>
    <w:p>
      <w:pPr>
        <w:spacing w:after="0" w:line="162" w:lineRule="exact"/>
        <w:rPr>
          <w:sz w:val="20"/>
          <w:szCs w:val="20"/>
          <w:color w:val="auto"/>
        </w:rPr>
      </w:pPr>
    </w:p>
    <w:p>
      <w:pPr>
        <w:ind w:left="60" w:right="540" w:firstLine="405"/>
        <w:spacing w:after="0" w:line="282" w:lineRule="auto"/>
        <w:rPr>
          <w:sz w:val="20"/>
          <w:szCs w:val="20"/>
          <w:color w:val="auto"/>
        </w:rPr>
      </w:pPr>
      <w:r>
        <w:rPr>
          <w:rFonts w:ascii="Times New Roman" w:cs="Times New Roman" w:eastAsia="Times New Roman" w:hAnsi="Times New Roman"/>
          <w:sz w:val="18"/>
          <w:szCs w:val="18"/>
          <w:color w:val="auto"/>
        </w:rPr>
        <w:t>On January 26, 2017, the Company announced a cash dividend of $0.50 per share, payable on February 28, 2017, to stockholders of record as of February 14, 2017.</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Board of Directors will continue to periodically assess the level and appropriateness of any cash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In November 2016, we repurchased 5,763 shares in satisfaction of tax withholding obligations on vested restricted stock at an average price of $87.53 per share, for a total amount of $0.5 million.</w:t>
      </w:r>
    </w:p>
    <w:p>
      <w:pPr>
        <w:spacing w:after="0" w:line="16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In December 2016, we repurchased 73,413 shares in satisfaction of tax withholding obligations on vested restricted stock at an average price of $98.37 per share, for a total amount of $7.2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None of the foregoing repurchases that occurred during the three months ended December 31, 2016 were part of the Company's publicly announced repurchase program, which is discussed in Item 8—"Financial Statements and Supplementary Data," Note 12 "Stockholders' Equity—Common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graph below compares the five year cumulative total return on our common stock to the cumulative total return of the Standard &amp; Poor's 500 Stock Index ("S&amp;P 500") and the Dow Jones US Gambling Index. The performance graph assumes that $100 was invested on December 31, 2011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Among Wynn Resorts Ltd., the S&amp;P 500 Index,</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and the Dow Jones US Gambling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635</wp:posOffset>
            </wp:positionV>
            <wp:extent cx="4570730" cy="2855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073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*$100 invested on 12/31/11 in stock or index, including reinvestment of dividends. Fiscal year ending December 31.</w:t>
      </w:r>
    </w:p>
    <w:p>
      <w:pPr>
        <w:spacing w:after="0" w:line="4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Copyright © 2017 S&amp;P, a division of McGraw Hill Financial. All rights reserved.</w:t>
      </w:r>
    </w:p>
    <w:p>
      <w:pPr>
        <w:spacing w:after="0" w:line="4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Copyright © 2017 Dow Jones &amp; Co. All rights reserved.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20"/>
          </w:cols>
          <w:pgMar w:left="24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financial information for each of the five years ended December 31, 2016, 2015, 2014, 2013, and 2012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indicative of the results that may be expected for future years.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2016 (1)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2012 (2)</w:t>
            </w:r>
          </w:p>
        </w:tc>
      </w:tr>
      <w:tr>
        <w:trPr>
          <w:trHeight w:val="250"/>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4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4,466,297</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4,075,883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5,433,661</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5,620,936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5,154,284</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154,717</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77,623</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30,146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3,169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521,662</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658,814</w:t>
            </w:r>
          </w:p>
        </w:tc>
        <w:tc>
          <w:tcPr>
            <w:tcW w:w="3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1,266,278</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1,290,091</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1,029,276</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302,469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281,524</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962,644</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1,004,157</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728,699</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3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(60,494)</w:t>
            </w: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(86,234)</w:t>
            </w:r>
          </w:p>
        </w:tc>
        <w:tc>
          <w:tcPr>
            <w:tcW w:w="340" w:type="dxa"/>
            <w:vAlign w:val="bottom"/>
          </w:tcPr>
          <w:p>
            <w:pPr>
              <w:spacing w:after="0"/>
              <w:rPr>
                <w:sz w:val="20"/>
                <w:szCs w:val="20"/>
                <w:color w:val="auto"/>
              </w:rPr>
            </w:pP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(231,090)</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(275,505)</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(226,663)</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241,975</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195,290</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731,554</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728,652</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502,036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income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7.25</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4.87</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7.18</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4.82</w:t>
            </w:r>
          </w:p>
        </w:tc>
      </w:tr>
      <w:tr>
        <w:trPr>
          <w:trHeight w:val="400"/>
        </w:trPr>
        <w:tc>
          <w:tcPr>
            <w:tcW w:w="3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2016 (1)</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2012 (2)</w:t>
            </w:r>
          </w:p>
        </w:tc>
      </w:tr>
      <w:tr>
        <w:trPr>
          <w:trHeight w:val="250"/>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40" w:type="dxa"/>
            <w:vAlign w:val="bottom"/>
            <w:gridSpan w:val="4"/>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2,453,122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2,080,089</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2,182,164</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2,435,041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1,725,219</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299,686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3,217,117</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1,666,326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558,624</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110,490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Total assets </w:t>
            </w:r>
            <w:r>
              <w:rPr>
                <w:rFonts w:ascii="Times New Roman" w:cs="Times New Roman" w:eastAsia="Times New Roman" w:hAnsi="Times New Roman"/>
                <w:sz w:val="14"/>
                <w:szCs w:val="14"/>
                <w:color w:val="auto"/>
              </w:rPr>
              <w:t>(3)</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11,953,557</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10,459,159</w:t>
            </w:r>
          </w:p>
        </w:tc>
        <w:tc>
          <w:tcPr>
            <w:tcW w:w="3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9,001,919</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8,332,133</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7,234,832</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Total long-term obligations </w:t>
            </w:r>
            <w:r>
              <w:rPr>
                <w:rFonts w:ascii="Times New Roman" w:cs="Times New Roman" w:eastAsia="Times New Roman" w:hAnsi="Times New Roman"/>
                <w:sz w:val="14"/>
                <w:szCs w:val="14"/>
                <w:color w:val="auto"/>
              </w:rPr>
              <w:t>(3) (4)</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10,248,676</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9,327,143</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7,482,510</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6,748,283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6,002,701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257,881</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3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211,091</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132,351</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103,932</w:t>
            </w: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7.00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9.50</w:t>
            </w:r>
          </w:p>
        </w:tc>
      </w:tr>
      <w:tr>
        <w:trPr>
          <w:trHeight w:val="27"/>
        </w:trPr>
        <w:tc>
          <w:tcPr>
            <w:tcW w:w="3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22, 2016, we opened Wynn Palace.</w:t>
      </w:r>
    </w:p>
    <w:p>
      <w:pPr>
        <w:spacing w:after="0" w:line="163" w:lineRule="exact"/>
        <w:rPr>
          <w:rFonts w:ascii="Times New Roman" w:cs="Times New Roman" w:eastAsia="Times New Roman" w:hAnsi="Times New Roman"/>
          <w:sz w:val="14"/>
          <w:szCs w:val="14"/>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18, 2012, we redeemed and canceled Aruze's 24,549,222 shares of Wynn Resorts common stock. In connection with the redemption and cancellation, stockholders' equity was reduced by $1.94 billion, the face amount of the Redemption Note. Aruze has challenged the redemption and cancellation of the 24,549,222 shares and legal proceedings are ongoing. See Item 8—"Financial Statements and Supplementary Data," Note 17 "Commitments and Contingencies."</w:t>
      </w:r>
    </w:p>
    <w:p>
      <w:pPr>
        <w:spacing w:after="0" w:line="123" w:lineRule="exact"/>
        <w:rPr>
          <w:rFonts w:ascii="Times New Roman" w:cs="Times New Roman" w:eastAsia="Times New Roman" w:hAnsi="Times New Roman"/>
          <w:sz w:val="14"/>
          <w:szCs w:val="14"/>
          <w:color w:val="auto"/>
        </w:rPr>
      </w:pPr>
    </w:p>
    <w:p>
      <w:pPr>
        <w:ind w:left="660" w:right="100" w:hanging="328"/>
        <w:spacing w:after="0" w:line="26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years 2015 and prior, the total assets and total long-term obligations have been reclassified to conform to the presentation from the retrospective application of deferred financing costs accounting guidance we adopted on January 1, 2016. See Item 8—"Financial Statements and Supplementary Data," Note 2 "Summary of Significant Accounting Policies —Recently Issued and Adopted Accounting Standards."</w:t>
      </w:r>
    </w:p>
    <w:p>
      <w:pPr>
        <w:spacing w:after="0" w:line="123" w:lineRule="exact"/>
        <w:rPr>
          <w:rFonts w:ascii="Times New Roman" w:cs="Times New Roman" w:eastAsia="Times New Roman" w:hAnsi="Times New Roman"/>
          <w:sz w:val="14"/>
          <w:szCs w:val="14"/>
          <w:color w:val="auto"/>
        </w:rPr>
      </w:pPr>
    </w:p>
    <w:p>
      <w:pPr>
        <w:ind w:left="660" w:right="160" w:hanging="328"/>
        <w:spacing w:after="0" w:line="261" w:lineRule="auto"/>
        <w:tabs>
          <w:tab w:leader="none" w:pos="6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long-term debt, long-term portion of the contract premium payments under our land concession contract at Wynn Macau, other long-term liabilities and deferred income taxes, net.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In Macau, we own approximately 72% of WML and we operate the Wynn Macau and Wynn Palace resorts, which we refer to as our Macau Operations. In Las Vegas, Nevada, with the exception of the majority of the retail space, we own 100% of and operate Wynn Las Vegas or what we also refer to as Las Vegas Operations. We are currently constructing Wynn Boston Harbor, an integrated casino resort in Everett, Massachusetts.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Wynn Macau features two luxury hotel towers with a total of 1,008 guest rooms and suites, approximately 284,000 square feet of casino space, eight food and beverage outlets, approximately 31,000 square feet of meeting and convention space, approximately 57,000 square feet of retail space, a rotunda show and recreation and leisure facilities.</w:t>
      </w:r>
    </w:p>
    <w:p>
      <w:pPr>
        <w:spacing w:after="0" w:line="17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On August 22, 2016, we opened Wynn Palace, an integrated resort in the Cotai area of Macau. Wynn Palace features a luxury hotel tower with 1,706 guest rooms, suites and villas, approximately 420,000 square feet of casino space, 10 food and beverage outlets, approximately 40,000 square feet of meeting and convention space, approximately 105,000 square feet of retail space, public attractions, including a performance lake and floral art displays, and recreation and leisure facilities.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jc w:val="both"/>
        <w:ind w:right="420" w:firstLine="432"/>
        <w:spacing w:after="0" w:line="266" w:lineRule="auto"/>
        <w:rPr>
          <w:sz w:val="20"/>
          <w:szCs w:val="20"/>
          <w:color w:val="auto"/>
        </w:rPr>
      </w:pPr>
      <w:r>
        <w:rPr>
          <w:rFonts w:ascii="Times New Roman" w:cs="Times New Roman" w:eastAsia="Times New Roman" w:hAnsi="Times New Roman"/>
          <w:sz w:val="18"/>
          <w:szCs w:val="18"/>
          <w:color w:val="auto"/>
        </w:rPr>
        <w:t>Wynn Las Vegas features two luxury hotel towers with a total of 4,748 guest rooms, suites and villas, approximately 189,000 square feet of casino space, 33 food and beverage outlets, an on-site 18-hole golf course, approximately 290,000 square feet of meeting and convention space, approximately 99,000 square feet of retail space, as well as two showrooms, three nightclubs, a beach club, and recreation and leisure facilities.</w:t>
      </w:r>
    </w:p>
    <w:p>
      <w:pPr>
        <w:spacing w:after="0" w:line="1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December 2016, we formed a joint venture with Crown Acquisitions Inc. ("Crown") to own and operate approximately 88,000 square feet of existing retail space (of which we own 50.1%) and signed an agreement with Crown to form a joint venture to own and operate approximately 73,000 square feet of additional retail space that is currently under construction at Wynn Las Vegas. We expect to open the additional retail space in the first quarter of 2018. For more information on the joint venture, see Item 8—"Financial Statements and Supplementary Data," Note 3, "Retail Joint Venture."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November 2014, we were awarded a gaming license to develop and construct Wynn Boston Harbor, an integrated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December 31, 2016, we have incurred approximately $466.8 million in total project costs. We expect to open Wynn Boston Harbor in mid-2019.</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a Consolidated Statement of Income is presented. Below are definitions of these key operating measures discussed:</w:t>
      </w:r>
    </w:p>
    <w:p>
      <w:pPr>
        <w:spacing w:after="0" w:line="162" w:lineRule="exact"/>
        <w:rPr>
          <w:sz w:val="20"/>
          <w:szCs w:val="20"/>
          <w:color w:val="auto"/>
        </w:rPr>
      </w:pPr>
    </w:p>
    <w:p>
      <w:pPr>
        <w:ind w:left="1300" w:right="200" w:hanging="644"/>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Macau Operations is the amount of cash that is deposited in a gaming table's drop box plus cash chips purchased at the casino cage.</w:t>
      </w: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turnover for purposes of calculating incentives.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revenues.</w:t>
      </w:r>
    </w:p>
    <w:p>
      <w:pPr>
        <w:spacing w:after="0" w:line="9"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800" w:hanging="644"/>
        <w:spacing w:after="0" w:line="250"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the retail value of promotional allowances (less service charges, if any), by total rooms available.</w:t>
      </w: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percentages at our resorts.</w:t>
      </w:r>
    </w:p>
    <w:p>
      <w:pPr>
        <w:spacing w:after="0" w:line="225"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non-negotiable chips, commonly referred to as rolling chips, from the casino cage. Non-negotiable chips can only be used to make wagers. Winning wagers are paid in cash chips. The loss of the non-negotiable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smaller in the VIP operations when compared to the mass market operations.</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annual results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4,466,297</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4,075,883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5,433,661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195,290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731,554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Property EBITDA</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1,185,789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1,773,278</w:t>
            </w:r>
          </w:p>
        </w:tc>
      </w:tr>
    </w:tbl>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2016, our net income attributable to Wynn Resorts, Limited was $242.0 million, an increase of 23.9% over $195.3 million in the same period of 2015, resulting in diluted earnings per share of $2.38. The increase in net income attributable to Wynn Resorts, Limited was primarily due to a loss on extinguishment of debt in 2015 that was not experienced in 2016. Adjusted Property EBITDA increased year-over-year by 6.2%, from $1.19 billion for the year ended December 31, 2015 to $1.26 billion for the same period of 2016, primarily due to the new operations associated with the opening of Wynn Palace, partially offset by a decrease of 3.8% from Wynn Macau driven by a continued decrease in business volumes.</w:t>
      </w:r>
    </w:p>
    <w:p>
      <w:pPr>
        <w:spacing w:after="0" w:line="184"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2015, our net income attributable to Wynn Resorts, Limited was $195.3 million, a decrease of 73.3% over $731.6 million in the same period of 2014, resulting in diluted earnings per share of $1.92. The decrease in net income attributable to Wynn Resorts, Limited was primarily due to weaker performance from Wynn Macau, driven by a 46.4% reduction in VIP turnover compared to 2014, along with a loss on extinguishment of debt we experienced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Adjusted Property EBITDA decreased year-over-year by 33.1%, from $1.77 billion for the year ended December 31, 2014 to $1.19 billion for the same period of 2015, primarily as a result of the weaker performance from Wynn Macau previously discussed.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2016 compared to the year ended December 31, 2015.</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2"/>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2,264,087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2,463,092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583,336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2,847,423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2,463,092</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1,618,874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1,612,791</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4,466,297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4,075,883</w:t>
            </w:r>
          </w:p>
        </w:tc>
        <w:tc>
          <w:tcPr>
            <w:tcW w:w="15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p>
      <w:pPr>
        <w:spacing w:after="0" w:line="195"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Net revenues increased 9.6%, or $390.4 million, for the year ended December 31, 2016, compared to the same period of 2015. The increase was primarily due to $583.3 million from Wynn Palace and an increase of $6.1 million from our Las Vegas Operations, partially offset by a decrease of $199.0 million from Wynn Macau.</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revenues and non-casino revenues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3,268,141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2,932,419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1,198,156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1,143,464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4,466,297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4,075,883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73.2% of total net revenues for the year ended December 31, 2016, compared to 71.9% for the same period of 2015, while non-casino revenues were 26.8% of total net revenues, compared to 28.1% for the same period of 2015.</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Casino revenues increased 11.4%, or $335.7 million, for the year ended December 31, 2016, compared to the same period in 2015. The increase was primarily due to casino revenues of $519.9 million from Wynn Palace, partially offset by a $177.7 million decrease from Wynn Macau. The decline in casino revenues from Wynn Macau was driven by a decrease in business volumes from both our VIP and mass market operations, with decreases in VIP turnover of 18.8%, table drop of 5.6% and slot handle of 14.5%. The business volume decrease for Wynn Macau was primarily driven by the continued impact from the current economic and political conditions in Macau and China, as well as impact from recent resort openings in the Cotai area of Macau, including Wynn Palace. We experienced a VIP win as a percentage of turnover of 3.29% for the year ended December 31, 2016, compared to 2.87% for the same period of 2015, which partially offset the business volume decrease in our VIP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firstLine="432"/>
        <w:spacing w:after="0" w:line="281" w:lineRule="auto"/>
        <w:rPr>
          <w:sz w:val="20"/>
          <w:szCs w:val="20"/>
          <w:color w:val="auto"/>
        </w:rPr>
      </w:pPr>
      <w:r>
        <w:rPr>
          <w:rFonts w:ascii="Times New Roman" w:cs="Times New Roman" w:eastAsia="Times New Roman" w:hAnsi="Times New Roman"/>
          <w:sz w:val="17"/>
          <w:szCs w:val="17"/>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transfer table games between Wynn Macau and Wynn Palace, subject to the aggregate cap, to optimize our casino operations. As of February 15, 2017, we had a total of 303 table games at Wynn Macau and 304 at Wynn Palace.</w:t>
      </w:r>
    </w:p>
    <w:p>
      <w:pPr>
        <w:spacing w:after="0" w:line="165"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2,135,193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2,312,925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47,048,754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57,917,060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(10,868,306)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1,547,261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1,659,683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28,332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4,585,476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4,857,804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(272,328)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881,797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951,458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11,131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3,386,973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3,961,115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145,680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191,164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84"/>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519,877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519,877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14,480,023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14,480,023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396,954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396,954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37,009</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37,009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1,000,881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1,000,881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211,146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211,146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738,907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738,907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vMerge w:val="restart"/>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2"/>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560" w:type="dxa"/>
            <w:vAlign w:val="bottom"/>
          </w:tcPr>
          <w:p>
            <w:pPr>
              <w:jc w:val="right"/>
              <w:ind w:right="45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5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613,071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619,494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1,838,479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2,060,189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(221,710)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465,041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490,920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20" w:type="dxa"/>
            <w:vAlign w:val="bottom"/>
          </w:tcPr>
          <w:p>
            <w:pPr>
              <w:spacing w:after="0"/>
              <w:rPr>
                <w:sz w:val="21"/>
                <w:szCs w:val="21"/>
                <w:color w:val="auto"/>
              </w:rPr>
            </w:pP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3,148,610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2,969,327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179,283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2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208,024</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206,626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Non-casino revenues increased 4.8%, or $54.7 million, to $1.20 billion for the year ended December 31, 2016, from $1.14 billion for the same period of 2015, primarily due to the opening of Wynn Palace during the third quarter of 2016 and an increase of 5.7% in room revenues from our Las Vegas Operations, partially offset by a 14.4% decline in non-casino revenues at Wynn Macau.</w:t>
      </w:r>
    </w:p>
    <w:p>
      <w:pPr>
        <w:spacing w:after="0" w:line="176"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Room revenues increased 12.0%, or $64.8 million, to $603.3 million for the year ended December 31, 2016, from $538.5 million in the same period of 2015, primarily attributable to $54.8 million from Wynn Palace and an increase of $23.5 million from our Las Vegas Operations, partially offset by a decrease of $13.5 million from Wynn Macau. The increase experienced by our Las Vegas Operations was driven by an ADR increase of 3.9% while the decrease from Wynn Macau was a result of an ADR decline of 9.3% and a 2.1 percentage point decrease in occupancy.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6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80" w:type="dxa"/>
            <w:vAlign w:val="bottom"/>
          </w:tcPr>
          <w:p>
            <w:pPr>
              <w:jc w:val="right"/>
              <w:ind w:right="413"/>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 (1)</w:t>
            </w: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111,817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125,348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54,843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6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436,613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413,152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0"/>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3"/>
                <w:szCs w:val="23"/>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occupancy, which is presented as a percentage point change.</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Wynn Palace opened on August 22, 2016.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Food and beverage revenues increased slightly by 0.7%, or $4.4 million, to $601.5 million for the year ended December 31, 2016, from $597.1 million for the same period of 2015, primarily due to $27.1 million from Wynn Palace, partially offset by decreases of $12.0 million and $10.7 million from our Las Vegas Operations and Wynn Macau, respectively. Our Las Vegas Operations decreased primarily due to a decline in revenues at our nightclubs and the decrease from Wynn Macau was mainly from a decline in revenues at our restaurants.</w:t>
      </w:r>
    </w:p>
    <w:p>
      <w:pPr>
        <w:spacing w:after="0" w:line="180"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Entertainment, retail and other increased 3.7%, or $12.8 million, to $363.4 million for the year ended December 31, 2016, from $350.6 million for the same period of 2015. The increase was primarily due to $38.0 million from Wynn Palace, partially offset by a $19.3 million decrease in revenue from retail shops at Wynn Macau.</w:t>
      </w:r>
    </w:p>
    <w:p>
      <w:pPr>
        <w:spacing w:after="0" w:line="17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Promotional allowances increased 8.0%, or $27.3 million, to $370.1 million for the year ended December 31, 2016, from $342.7 million for the same period of 2015. As a percentage of total casino revenues, promotional allowances were 11.3% for the year ended December 31, 2016, compared to 11.7% for the same period of 2015.</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Operating costs and expenses increased 15.4%, or $527.6 million, to $3.94 billion for the year ended December 31, 2016, from $3.42 billion for the same period of 2015, driven primarily by increases in casino expenses of $217.1 million, general and administrative expenses of $83.3 million, depreciation and amortization of $82.1 million and pre-opening costs of $77.1 million, all mainly due to the opening of Wynn Palace.</w:t>
      </w:r>
    </w:p>
    <w:p>
      <w:pPr>
        <w:spacing w:after="0" w:line="176"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Casino expenses increased 11.7%, or $217.1 million, to $2.08 billion for the year ended December 31, 2016, from $1.86 billion for the same period of 2015. The increase was commensurate with the 11.4% increase in casino revenues.</w:t>
      </w:r>
    </w:p>
    <w:p>
      <w:pPr>
        <w:spacing w:after="0" w:line="162"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Room expenses increased 6.0%, or $8.9 million, to $157.9 million for the year ended December 31, 2016, from $149.0 million for the same period of 2015. The increase was primarily due to $16.4 million from Wynn Palace and a $4.3 million increase from our Las Vegas Operations, partially offset by an $11.6 million decrease from Wynn Macau.</w:t>
      </w:r>
    </w:p>
    <w:p>
      <w:pPr>
        <w:spacing w:after="0" w:line="17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3.9%, or $14.0 million, to $375.2 million for the year ended December 31, 2016, from $361.2 million for the same period of 2015, primarily related to Wynn Palace.</w:t>
      </w:r>
    </w:p>
    <w:p>
      <w:pPr>
        <w:spacing w:after="0" w:line="162"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Entertainment, retail and other expenses increased 2.4%, or $3.7 million, to $161.1 million for the year ended December 31, 2016, from $157.4 million for the same period of 2015. The increase was primarily due to $8.9 million from Wynn Palace, partially offset by a decrease of $4.8 million from Wynn Macau.</w:t>
      </w:r>
    </w:p>
    <w:p>
      <w:pPr>
        <w:spacing w:after="0" w:line="17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17.9%, or $83.3 million, to $548.1 million for the year ended December 31, 2016, from $464.8 million for the same period of 2015. The increase was primarily due to $73.9 million from Wynn Palace, as well as increases in general and administrative expenses from our Las Vegas Operations and corporate related expenses.</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Provision for doubtful accounts decreased $2.9 million, or 26.2%, to $8.2 million for the year ended December 31, 2016, from $11.1 million for the same period of 2015. The change in the provision was primarily due to increased collections of casino accounts receivable at Wynn Macau.</w:t>
      </w:r>
    </w:p>
    <w:p>
      <w:pPr>
        <w:spacing w:after="0" w:line="16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Pre-opening costs were $154.7 million for the year ended December 31, 2016, compared to $77.6 million for the same period of 2015. During the year ended December 31, 2016, we incurred $129.8 million related to Wynn Palace, $22.7 million related to Wynn Boston Harbor, and $2.3 million related to our Las Vegas Operations. During the year ended December 31, 2015 we incurred pre-opening costs of $55.1 million and $22.6 million related to Wynn Palace and Wynn Boston Harbor, respectively.</w:t>
      </w:r>
    </w:p>
    <w:p>
      <w:pPr>
        <w:spacing w:after="0" w:line="1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Depreciation and amortization increased 25.4%, or $82.1 million, to $404.7 million for the year ended December 31, 2016, from $322.6 million for the same period of 2015. The increase was attributable to $105.9 million from Wynn Palace, primarily from the opening and associated building and furniture, fixtures and equipment placed in service, partially offset by a decrease of $14.1 million at Wynn Macau. The majority of the Wynn Macau decrease was due to a change in estimated useful lives of buildings and improvements, which was effective September 1, 2015, to more accurately reflect the estimated periods during which these assets are expected to remain in service.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240" w:top="118" w:right="31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Property charges and other were $54.8 million for the year ended December 31, 2016, compared to $10.5 million for the same period of 2015. During the year ended December 31, 2016, we incurred a $15.5 million exit fee for the right to procure energy from the wholesale energy markets instead of from the local public electric utility by our Las Vegas Operations and $14.1 million for the write-down of the carrying value to the purchase price of an aircraft we sold in January 2017. In addition, we incurred expenses of $10.1 million in abandonment charges related to current construction of additional retail space at our Las Vegas Operations and $5.5 million for the write-off of show production costs due to the closing of Steve Wynn's ShowStoppers in December 2016.</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146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383,497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354,233</w:t>
            </w:r>
          </w:p>
        </w:tc>
        <w:tc>
          <w:tcPr>
            <w:tcW w:w="15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(94,132)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(53,327)</w:t>
            </w:r>
          </w:p>
        </w:tc>
        <w:tc>
          <w:tcPr>
            <w:tcW w:w="15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97"/>
        </w:trPr>
        <w:tc>
          <w:tcPr>
            <w:tcW w:w="65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289,365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300,906</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11"/>
        </w:trPr>
        <w:tc>
          <w:tcPr>
            <w:tcW w:w="65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9,564,845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8,214,598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Interest cost increased $29.3 million for the year ended December 31, 2016, compared to the same period of 2015, primarily due to an increase in our weighted average total debt balance, partially offset by a decrease in our weighted average interest rate. Capitalized interest increased $40.8 million for the year ended December 31, 2016, primarily due to the $25.6 million correction of an immaterial amount during 2016 as well as the construction of Wynn Palace. During the first quarter of 2016, we corrected immaterial amounts of additional interest of $25.6 million that should have been capitalized instead of being expensed during the years ended December 31, 2015 and 2014. Had these amounts been corrected in the appropriate periods, the capitalized interest for the year ended December 31, 2015, would have been $21.9 million higher. For further information, see Item 1—"Notes to Consolidated Financial Statements," Note 2 "Summary of Significant Accounting Policies."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incurred gains of $65.0 million and $52.0 million for the years ended December 31, 2016 and 2015, respectively, from the change in fair value of the Redemption Note. The change in fair value was a result of changes in certain variables to calculate the estimated fair value. For further information on the fair value of the Redemption Note, see Item 1—"Notes to Consolidated Financial Statements," Note 2 "Summary of Significant Accounting Policies."</w:t>
      </w:r>
    </w:p>
    <w:p>
      <w:pPr>
        <w:spacing w:after="0" w:line="17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incurred a loss of $126.0 million on the extinguishment of debt for the year ended December 31, 2015, in connection with the cash tender offer for the 7 7/8% First Mortgage Notes due May 1, 2020 and the 7 3/4% 2020 First Mortgage Notes due August 15, 2020 (together the "2020 Notes"), subsequent redemption of the untendered 2020 Notes and the amendment of our Wynn Macau credit facilities. We expensed $98.9 million for the consideration paid to holders who tendered the 2020 Notes, $17.2 million of unamortized deferred financing costs and original issue discount and $0.1 million in other fees incurred. In connection with the redemption of the remaining principal amount of the untendered 2020 Notes, we recorded a loss for the premium portion of the consideration of $5.9 million and expensed $1.8 million of unamortized deferred financing costs and original discount. In connection with the amendment of the Wynn Macau credit facilities, we expensed $2.1 million of unamortized deferred financing costs. We incurred no loss on extinguishment of debt for the year ended December 31, 2016.</w:t>
      </w:r>
    </w:p>
    <w:p>
      <w:pPr>
        <w:spacing w:after="0" w:line="185"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We incurred a gain of $0.4 million and a loss of $5.3 million from the change in the fair value of our interest rate swaps for the years ended December 31, 2016 and 2015, respectively. For further information on our interest rate swaps, see Item 8—"Financial Statements and Supplementary Data," Note 2 "Summary of Significant Accounting Policies."</w:t>
      </w:r>
    </w:p>
    <w:p>
      <w:pPr>
        <w:spacing w:after="0" w:line="176"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Interest income was $13.5 million for the year ended December 31, 2016, compared to $7.2 million for 2015. During the years ended December 31, 2016 and 2015, our short-term investment strategy was to preserve capital while retaining sufficient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The majority of our short-term investment securities were in fixed deposits and money market accounts with a maturity of three months or less.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2016 and 2015, we recorded a tax expense of $8.1 million and $7.7 million, respectively, primarily related to an increase in our deferred tax liabilities.</w:t>
      </w:r>
    </w:p>
    <w:p>
      <w:pPr>
        <w:spacing w:after="0" w:line="108"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Wynn Macau SA has received a five-year exemption from the Macau Complementary Tax on casino gaming profits through December 31, 2020. For the years ended December 31, 2016 and 2015, we were exempt from the payment of $27.3 million and $41.6 million, respectively, in such taxes. Our non-gaming profits remain subject to the Macau Complementary Tax and casino winnings remain subject to the Macau special gaming tax and other levies together totaling 39% in accordance with our concession agreement.</w:t>
      </w:r>
    </w:p>
    <w:p>
      <w:pPr>
        <w:spacing w:after="0" w:line="12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July 2011, Wynn Macau SA received an extension of its agreement with the Macau government that provides for an annual payment of 15.5 million Macau patacas (approximately $1.9 million) as complementary tax due by shareholders on dividend distributions. This agreement on dividends was effective through December 31, 2015. In August 2016, Wynn Macau SA received an extension of the agreement for an additional five years applicable to tax years 2016 through 2020. The extension agreement provides for an annual payment of 12.8 million Macau patacas (approximately $1.6 million).</w:t>
      </w:r>
    </w:p>
    <w:p>
      <w:pPr>
        <w:spacing w:after="0" w:line="126"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We have participated in the Internal Revenue Service ("IRS") Compliance Assurance Program ("CAP") for the 2012 through 2016 tax years and will continue to participate in the IRS CAP for the 2017 tax year. In February 2016, the IRS completed an examination of the 2014 U.S. tax return and had no changes.</w:t>
      </w:r>
    </w:p>
    <w:p>
      <w:pPr>
        <w:spacing w:after="0" w:line="12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In June 2016, the Financial Services Bureau concluded its examination with no changes.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27"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$60.5 million for the year ended December 31, 2016, compared to $86.2 million for the year ended December 31, 2015. These amounts are primarily related to the noncontrolling interests' share of net income from WML.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2015 compared to the year ended December 31, 2014.</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2,463,092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3,796,750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1,612,791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1,636,911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4,075,883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5,433,661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Net revenues decreased 25.0% to $4.08 billion for the year ended December 31, 2015, from $5.43 billion for the same period in 2014. The decline in net revenues was primarily driven by a decrease of 35.5%, or $1.27 billion, in casino revenue from our Macau Operations.</w:t>
      </w:r>
    </w:p>
    <w:p>
      <w:pPr>
        <w:spacing w:after="0" w:line="16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revenues and non-casino revenues (dollars in thousands):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jc w:val="right"/>
              <w:ind w:right="5720"/>
              <w:spacing w:after="0"/>
              <w:rPr>
                <w:rFonts w:ascii="Times New Roman" w:cs="Times New Roman" w:eastAsia="Times New Roman" w:hAnsi="Times New Roman"/>
                <w:sz w:val="14"/>
                <w:szCs w:val="14"/>
                <w:color w:val="0000EE"/>
                <w:w w:val="99"/>
              </w:rPr>
            </w:pPr>
            <w:hyperlink w:anchor="page2">
              <w:r>
                <w:rPr>
                  <w:rFonts w:ascii="Times New Roman" w:cs="Times New Roman" w:eastAsia="Times New Roman" w:hAnsi="Times New Roman"/>
                  <w:sz w:val="14"/>
                  <w:szCs w:val="14"/>
                  <w:color w:val="0000EE"/>
                  <w:w w:val="99"/>
                </w:rPr>
                <w:t>Table of Contents</w:t>
              </w:r>
            </w:hyperlink>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102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gridSpan w:val="2"/>
            <w:shd w:val="clear" w:color="auto" w:fill="CCEEFF"/>
          </w:tcPr>
          <w:p>
            <w:pPr>
              <w:jc w:val="right"/>
              <w:ind w:right="57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2,932,419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4,274,221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1,143,464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1,159,440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4,075,883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5,433,661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Casino revenues were 71.9% of total net revenues for the year ended December 31, 2015, compared to 78.7% of total net revenues for the same period of 2014, while non-casino revenues were 28.1% of total net revenues, compared to 21.3% in the prior year. This increase in non-casino revenues as a percentage of total net revenues reflects performance of non-gaming amenities, such as Las Vegas nightclubs and continued high occupancy and use of our facilities, in contrast to the decline in VIP gaming revenue in Macau.</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Casino revenues decreased 31.4% to $2.93 billion for the year ended December 31, 2015, from $4.27 billion in the same period of 2014. The decline was primarily due to the continued weak gaming environment affecting our Macau Operations, which experienced a year-over-year decrease in casino revenues of 35.5% from $3.59 billion to $2.31 billion. Our VIP gaming operations drove the decline with $57.92 billion in VIP turnover for the year ended December 31, 2015, compared to $108.08 billion for the same period of 2014. In addition, our Macau Operations' mass market gaming contributed to the decline with a 12.0% decrease in table drop combined with a reduction in table games win percentage of 1.9 percentage points. Our VIP tables decreased from 248 as of December 31, 2014 to 190 as of December 31, 2015, based on the operating environment and customer demand.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4"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(dollars in thousands, except for win per unit per day).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1"/>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2,312,925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3,586,781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(1,273,856)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VIP:</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57,917,060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108,077,342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(50,160,282)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1,659,683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3,051,046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19,785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Mass market:</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4,857,804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5,517,382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(659,578)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951,458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1,187,997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11,431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3,961,115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5,415,127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191,164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264,763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619,494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687,440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2,060,189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2,556,452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490,920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623,968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2,969,327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3,008,563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206,626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186,458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20,168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Non-casino revenues decreased 1.4%, or $16.0 million, to $1.14 billion for the year ended December 31, 2015, from $1.16 billion for the same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207"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Room revenues decreased $4.3 million, to $538.5 million for the year ended December 31, 2015, from $542.8 million in the same period of 2014, driven by a decline from our Macau Operations of $8.4 million, partially offset by an increase from our Las Vegas Operations of $4.2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6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1480" w:type="dxa"/>
            <w:vAlign w:val="bottom"/>
          </w:tcPr>
          <w:p>
            <w:pPr>
              <w:jc w:val="right"/>
              <w:ind w:right="414"/>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 (1)</w:t>
            </w:r>
          </w:p>
        </w:tc>
        <w:tc>
          <w:tcPr>
            <w:tcW w:w="0" w:type="dxa"/>
            <w:vAlign w:val="bottom"/>
          </w:tcPr>
          <w:p>
            <w:pPr>
              <w:spacing w:after="0"/>
              <w:rPr>
                <w:sz w:val="1"/>
                <w:szCs w:val="1"/>
                <w:color w:val="auto"/>
              </w:rPr>
            </w:pPr>
          </w:p>
        </w:tc>
      </w:tr>
      <w:tr>
        <w:trPr>
          <w:trHeight w:val="249"/>
        </w:trPr>
        <w:tc>
          <w:tcPr>
            <w:tcW w:w="6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125,348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133,781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413,152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408,981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Except occupancy, which is presented as a percentage point change.</w:t>
      </w:r>
    </w:p>
    <w:p>
      <w:pPr>
        <w:spacing w:after="0" w:line="22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Food and beverage revenues decreased $7.6 million to $597.1 million for the year ended December 31, 2015, from $604.7 million for the same period of 2014. We experienced a decline of $24.0 million in food and beverage revenues from our Macau Operations, mainly from restaurants, partially offset by an increase of $16.4 million in food and beverage revenues from our Las Vegas Operations, which was driven by increases in revenues at nightclubs and from catering and banquets.</w:t>
      </w:r>
    </w:p>
    <w:p>
      <w:pPr>
        <w:spacing w:after="0" w:line="180"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Entertainment, retail and other decreased 12.6%, or $50.6 million, to $350.6 million for the year ended December 31, 2015, from $401.2 million for the same period of 2014. The decrease was primarily due to a decline in revenue from retail shops at our Macau Operations.</w:t>
      </w:r>
    </w:p>
    <w:p>
      <w:pPr>
        <w:spacing w:after="0" w:line="162"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Promotional allowances decreased 11.9%, or $46.5 million, to $342.7 million for the year ended December 31, 2015, from $389.2 million for the same period of 2014. As a percentage of total casino revenues, promotional allowances were 11.7% for the year ended December 31, 2015, compared to 9.1% for the same period of 2014, as the decline in total complimentaries was less than the decline in total revenues.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decreased 18.0%, or $750.3 million, to $3.42 billion for the year ended December 31, 2015, from $4.17 billion for the same period of 2014, mainly from a decrease in casino expenses.</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Casino expenses decreased 30.2%, or $804.3 million, to $1.86 billion for the year ended December 31, 2015, from $2.67 billion for the same period of 2014, primarily due to lower gaming taxes from the 39% gross win tax incurred at our Macau Operations. The decline in gaming taxes was commensurate with the 35.5% decrease in casino revenues at our Macau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Room expenses were relatively flat for the year ended December 31, 2015, compared to the same period of 2014.</w:t>
      </w:r>
    </w:p>
    <w:p>
      <w:pPr>
        <w:spacing w:after="0" w:line="225"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Food and beverage expenses increased 7.1%, or $24.0 million, to $361.2 million for the year ended December 31, 2015, from $337.2 million for the same period of 2014, due primarily to an increase of $21.8 million from our Las Vegas Operations. The increase was primarily a result of higher costs in the current period for entertainment at Wynn Las Vegas nightclubs.</w:t>
      </w:r>
    </w:p>
    <w:p>
      <w:pPr>
        <w:spacing w:after="0" w:line="17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Entertainment, retail and other expenses decreased 3.9%, or $6.3 million, to $157.4 million for the year ended December 31, 2015, from $163.8 million in the same period of 2014. The decrease was primarily attributable to the reduction in merchandise cost at our Macau Operations associated with the decline in retail shop revenues, partially offset by an increase from our Las Vegas Operations due to costs associated with Steve Wynn's ShowStoppers, which opened in December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5.6%, or $27.7 million, to $464.8 million for the year ended December 31, 2015, from $492.5 million in the same period of 2014, primarily attributable to a decrease in corporate related expenses.</w:t>
      </w:r>
    </w:p>
    <w:p>
      <w:pPr>
        <w:spacing w:after="0" w:line="162" w:lineRule="exact"/>
        <w:rPr>
          <w:sz w:val="20"/>
          <w:szCs w:val="20"/>
          <w:color w:val="auto"/>
        </w:rPr>
      </w:pPr>
    </w:p>
    <w:p>
      <w:pPr>
        <w:jc w:val="both"/>
        <w:ind w:right="28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increased $7.2 million, or 184.6%, to $11.1 million for the year ended December 31, 2015, from $3.9 million for the same period of 2014. The change in the provision was primarily due to the impact of historical collection patterns and current collection trends, as well as specific review of customer accounts and outstanding gaming promoter accounts, on our estimated allowance for the respective periods.</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Pre-opening costs were $77.6 million for the year ended December 31, 2015, compared to $30.1 million for the same period of 2014 and were primarily associated with the design and planning for our development projects. During the year ended December 31, 2015, we incurred $55.1 million related to Wynn Palace and $22.6 million related to Wynn Boston Harbor. Pre-opening costs for the year ended December 31, 2014 related to Wynn Palace.</w:t>
      </w:r>
    </w:p>
    <w:p>
      <w:pPr>
        <w:spacing w:after="0" w:line="176"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2.7%, or $8.5 million, to $322.6 million for the year ended December 31, 2015, from $314.1 million for the same period of 2014. The increase was primarily due to additional depreciation associated with building improvements at our Macau Operations, including our new VIP gaming rooms. The increase was partially offset by a $7.4 million reduction in depreciation due to a change in the estimated useful lives of certain assets in Macau during 2015.</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interest expense (dollars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360" w:type="dxa"/>
        <w:tblCellMar>
          <w:top w:w="0" w:type="dxa"/>
          <w:left w:w="0" w:type="dxa"/>
          <w:bottom w:w="0" w:type="dxa"/>
          <w:right w:w="0" w:type="dxa"/>
        </w:tblCellMar>
      </w:tblPr>
      <w:tr>
        <w:trPr>
          <w:trHeight w:val="194"/>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1"/>
                <w:szCs w:val="11"/>
                <w:color w:val="auto"/>
              </w:rPr>
            </w:pPr>
          </w:p>
        </w:tc>
        <w:tc>
          <w:tcPr>
            <w:tcW w:w="1180" w:type="dxa"/>
            <w:vAlign w:val="bottom"/>
          </w:tcPr>
          <w:p>
            <w:pPr>
              <w:jc w:val="right"/>
              <w:ind w:right="28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cost, including amortization of deferred financing costs and original issue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and premium</w:t>
            </w:r>
          </w:p>
        </w:tc>
        <w:tc>
          <w:tcPr>
            <w:tcW w:w="360" w:type="dxa"/>
            <w:vAlign w:val="bottom"/>
          </w:tcPr>
          <w:p>
            <w:pPr>
              <w:spacing w:after="0"/>
              <w:rPr>
                <w:sz w:val="20"/>
                <w:szCs w:val="20"/>
                <w:color w:val="auto"/>
              </w:rPr>
            </w:pP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354,233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348,520</w:t>
            </w:r>
          </w:p>
        </w:tc>
        <w:tc>
          <w:tcPr>
            <w:tcW w:w="1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(53,327)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(33,458)</w:t>
            </w:r>
          </w:p>
        </w:tc>
        <w:tc>
          <w:tcPr>
            <w:tcW w:w="1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300,906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315,062</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1"/>
        </w:trPr>
        <w:tc>
          <w:tcPr>
            <w:tcW w:w="6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total debt balance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8,214,598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7,174,054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Our interest cost increased $5.7 million to $354.2 million for the year ended December 31, 2015, due to an increase in our weighted average total debt balance, partially offset by a decrease in our weighted average interest rate. Capitalized interest increased $19.9 million to $53.3 million for the year ended December 31, 2015, primarily due to the construction of Wynn Palace. Financing activities during 2015 include the issuance of the 5 1/2% Senior Notes due 2025 ("2025 Notes"), cash tender offer and subsequent redemption of the 2020 Notes and the amendment of the Wynn Macau credit facilities. Financing activities during 2014 include the issuance of 5 1/4% Senior Notes due 2021.</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incurred losses of $126.0 million on the extinguishment of debt for the year ended December 31, 2015, compared to losses of $9.6 million in 2014. During the year ended December 31, 2015, in connection with the cash tender offer and subsequent redemption of the untendered 2020 Notes, we incurred a loss of $123.9 million associated with the premium paid, the write-off of unamortized deferred financing costs and original issue discount and other fees. In addition, we incurred a loss of $2.1 million related to the write-off of unamortized deferred financing costs associated with the amendment of our Wynn Macau credit facilities. During the year ended December 31, 2014, the loss was for the premium paid on the 2020 Notes through open market transactions and the write-off of related unamortized deferred financing costs and original issue discount.</w:t>
      </w:r>
    </w:p>
    <w:p>
      <w:pPr>
        <w:spacing w:after="0" w:line="18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2015, we recognized a gain of $52.0 million from the change in fair value of the Redemption Note as a result of changes in certain variables used in the estimated fair value. No change was recognized in the same period of 2014.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We incurred losses of $5.3 million and $4.4 million for the years ended December 31, 2015 and 2014, respectively, from the change in the fair value of our interest rate swaps.</w:t>
      </w:r>
    </w:p>
    <w:p>
      <w:pPr>
        <w:spacing w:after="0" w:line="162"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Interest income was $7.2 million for the year ended December 31, 2015, compared to $20.4 million in 2014. During 2015 and 2014, our short-term investment strategy was to preserve capital while retaining sufficient liquidity. The majority of our short-term investments were in time deposits, fixed deposits and money market accounts with a maturity of three months or less.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2015 and 2014, we recorded a tax expense of $7.7 million and a tax benefit of $3.8 million, respectively. For the year ended December 31, 2015, our income tax expense was primarily related to an increase in our deferred tax liabilities. For the year ended December 31, 2014, our income tax benefit was primarily related to a release of valuation allowance on prior year foreign tax credits resulting from the implementation of a tax planning strategy.</w:t>
      </w:r>
    </w:p>
    <w:p>
      <w:pPr>
        <w:spacing w:after="0" w:line="180"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2015 and 2014, we were exempt from the payment of $41.6 million and $99.4 million, respectively, under our exemption from the Macau Complementary Tax on gaming profits. Our non-gaming profits remain subject to the Macau Complementary Tax and casino winnings remain subject to the Macau special gaming tax and other levies together totaling 39% in accordance with our concession agreement.</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27"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$86.2 million for the year ended December 31, 2015, compared to $231.1 million for the year ended December 31, 2014. These amounts represent the noncontrolling interests' share of net income from Wynn Macau, Limited for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 (in thousands) for our Macau and Las Vegas Operations as reviewed by management and summarized in Item 8—"Financial Statements and Supplementary Data," Note 18 "Segment Information." That footnote also presents a reconciliation of Adjusted Property EBITDA to net income attributable to Wynn Resorts, Limited.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681,509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708,623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1,258,082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Wynn Palace </w:t>
            </w:r>
            <w:r>
              <w:rPr>
                <w:rFonts w:ascii="Times New Roman" w:cs="Times New Roman" w:eastAsia="Times New Roman" w:hAnsi="Times New Roman"/>
                <w:sz w:val="14"/>
                <w:szCs w:val="14"/>
                <w:color w:val="auto"/>
              </w:rPr>
              <w:t>(1)</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474,782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477,166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515,196</w:t>
            </w:r>
          </w:p>
        </w:tc>
      </w:tr>
      <w:tr>
        <w:trPr>
          <w:trHeight w:val="193"/>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8" w:lineRule="exact"/>
        <w:rPr>
          <w:sz w:val="20"/>
          <w:szCs w:val="20"/>
          <w:color w:val="auto"/>
        </w:rPr>
      </w:pPr>
    </w:p>
    <w:p>
      <w:pPr>
        <w:jc w:val="both"/>
        <w:ind w:right="10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at Wynn Macau decreased year-over-year by 3.8% for the year ended December 31, 2016, primarily due to casino revenue performance driven by year-over-year declines in VIP turnover, table drop and slot machine handle.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Adjusted Property EBITDA at Wynn Palace was $103.0 million since opening on August 22, 2016.</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Adjusted Property EBITDA for our Las Vegas Operations was relatively flat for the year ended December 31, 2016, compared to the same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0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Adjusted Property EBITDA at Wynn Macau and for our Las Vegas Operations decreased year-over-year by 43.7% and 7.4%, respectively, for the year ended December 31, 2015, primarily due to the decline in casino revenues.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provided by operations for the year ended December 31, 2016 was $970.5 million, compared to $572.8 million for the same period of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the change in customer deposits and working capital accounts from our Macau Operations.</w:t>
      </w:r>
    </w:p>
    <w:p>
      <w:pPr>
        <w:spacing w:after="0" w:line="20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Net cash provided by operations for the year ended December 31, 2015 was $572.8 million, compared to $1.10 billion for the same period of 2014. The reduction was primarily due to lower operating income generated by our Macau Operations and from the change in working capital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2016 was $1.29 billion, which was primarily attributable to $1.23 billion in capital expenditures, net of construction payables and retention. Capital expenditures, net of construction payables and retention, consisted primarily of $838.3 million for Wynn Palace and $212.2 million for Wynn Boston Harbor.</w:t>
      </w:r>
    </w:p>
    <w:p>
      <w:pPr>
        <w:spacing w:after="0" w:line="17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2015 was $1.89 billion, which was primarily attributable to $1.92 billion in capital expenditures, net of construction payables and retention, with $1.57 billion related to Wynn Palace.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2014 was $1.11 billion, which was primarily attributable to $1.22 billion in capital expenditures, net of construction payables and retention, with $982.4 million related to Wynn Palace. We also used $86.7 million in cash for payment of our Massachusetts gaming license.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$691.9 million for the year ended December 31, 2016, which was primarily attributable to borrowings of $930.0 million under our Wynn America credit facility and proceeds of $217.0 million from the sale of a 49.9% ownership interest in a subsidiary, partially offset by $325.2 million for the payment of dividends.</w:t>
      </w:r>
    </w:p>
    <w:p>
      <w:pPr>
        <w:spacing w:after="0" w:line="176"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$1.22 billion for the year ended December 31, 2015, which was primarily attributable to net borrowings of $1.62 billion under our amended Wynn Macau credit facilities, partially offset by $499.1 million for the payment of dividends. We also issued $1.8 billion of 2025 Notes and used the proceeds for the purchase of $1.6 billion of our 2020 Notes.</w:t>
      </w:r>
    </w:p>
    <w:p>
      <w:pPr>
        <w:spacing w:after="0" w:line="17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$235.6 million for the year ended December 31, 2014, which was primarily attributable to the payment of dividends of $942.9 million and payments on our long-term debt, partially offset by proceeds of $755.6 million from the issuance of senior notes and $132.6 million from borrowings, net of repayments, under our Wynn Macau revolving credit facility. During 2014, we used $98.4 million for open market purchases of principal on our first mortgage notes and $31.5 million for the repayment of the remaining principal on our note payable secured by aircraft.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As of December 31, 2016, we had approximately $2.45 billion of cash and cash equivalents and $301.5 million of available-for-sale investments in domestic and foreign debt securities and commercial paper. Cash and cash equivalents include cash on hand, cash in bank and fixed deposits, investments in money market funds, domestic and foreign bank time deposits and commercial paper, all with original maturities of less than 90 days. Of these amounts, WML and its subsidiaries (of which we own approximately 72%) held $334.2 million in cash. If our portion of this cash was repatriated to the U.S. on December 31, 2016, it would be subject to minimal U.S. taxes in the year of repatriation. Wynn Las Vegas, LLC held cash balances of $225.7 million. Wynn Resorts, Limited (including its subsidiaries other than WML and Wynn Las Vegas, LLC), which is not a guarantor of the debt of its subsidiaries, held $1.89 billion and $301.5 million of cash and available-for-sale investments, respectively.</w:t>
      </w:r>
    </w:p>
    <w:p>
      <w:pPr>
        <w:spacing w:after="0" w:line="189"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The Wynn Macau credit facilities consist of a $2.30 billion equivalent fully funded senior secured term loan facility and a $750.0 million equivalent senior secured revolving credit facility (together, the "Wynn Macau Credit Facilities"). Borrowings under the Wynn Macau Credit Facilities consist of both United States dollar and Hong Kong dollar tranches and were used to refinance Wynn Macau SA's existing indebtedness and fund the construction and development of Wynn Palace and will be used for general corporate purposes. As of December 31, 2016, we had $409.2 million of available borrowing capacity under the senior secured revolving credit facility.</w:t>
      </w:r>
    </w:p>
    <w:p>
      <w:pPr>
        <w:spacing w:after="0" w:line="18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Wynn America credit facilities consist of a $375 million senior secured revolving credit facility and a $1.0 billion fully funded senior secured term loan facility (together, the "Wynn America Credit Facilities"). Borrowings under the Wynn America Credit Facilities are and will be used to fund the development, construction and pre-opening expenses of Wynn Boston Harbor and for general corporate purposes. On June 21, 2016, we amended the Wynn America Credit Facilities to extend the available borrowing period for $649.7 million of the delay draw senior secured term loan facility from June 30, 2016 to December 31, 2016. On July 1, 2016, we amended the Wynn America Credit Facilities to increase the existing $875 million senior secured term loan facility (the "WA Senior Term Loan Facility I") by a principal amount of $125 million with the available borrowing period ending on December 31, 2016 (such increase, the "WA Senior Term Loan Facility II"). As of December 31, 2016, the available borrowing capacity under the Wynn America Credit Facilities was $361.3 million, net of $13.7 million in outstanding letters of credit.</w:t>
      </w:r>
    </w:p>
    <w:p>
      <w:pPr>
        <w:spacing w:after="0" w:line="185"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WML Finance I, Limited credit facility consists of a HK$1.55 billion (approximately $199.7 million) cash-collateralized revolving credit facility ("WML Finance Credit Facility"). Borrowings under the WML Finance Credit Facility are in Hong Kong dollars and are used for working capital requirements and general corporate purposes. On October 25, 2016, we amended the WML Finance Credit Facility to increase the principal amount up to HK$3.87 billion (approximately $499.0 million). As of December 31, 2016, the Company had $309.4 million of available borrowing capacity under the WML Finance Credit Facility.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20" w:firstLine="432"/>
        <w:spacing w:after="0" w:line="261" w:lineRule="auto"/>
        <w:rPr>
          <w:sz w:val="20"/>
          <w:szCs w:val="20"/>
          <w:color w:val="auto"/>
        </w:rPr>
      </w:pPr>
      <w:r>
        <w:rPr>
          <w:rFonts w:ascii="Times New Roman" w:cs="Times New Roman" w:eastAsia="Times New Roman" w:hAnsi="Times New Roman"/>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 Wynn Boston Harbor, with the available borrowing capacity under our bank credit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Macau Related Debt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Macau related debt consists of senior notes, the Wynn Macau Credit Facilities, and the WML Finance Credit Facility.</w:t>
      </w:r>
    </w:p>
    <w:p>
      <w:pPr>
        <w:spacing w:after="0" w:line="225"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u w:val="single" w:color="auto"/>
          <w:color w:val="auto"/>
        </w:rPr>
        <w:t>2021 Notes</w:t>
      </w:r>
      <w:r>
        <w:rPr>
          <w:rFonts w:ascii="Times New Roman" w:cs="Times New Roman" w:eastAsia="Times New Roman" w:hAnsi="Times New Roman"/>
          <w:sz w:val="18"/>
          <w:szCs w:val="18"/>
          <w:color w:val="auto"/>
        </w:rPr>
        <w:t>. On March 20, 2014, WML issued $750.0 million aggregate principal amount of 5 1/4% Senior Notes due 2021 (the "Additional 2021 Notes"), which were consolidated and form a single series with the $600.0 million aggregate principal amount of 5 1/4% Senior Notes due 2021 issued by WML on October 16, 2013 (the "Original 2021 Notes" and together with the "Additional 2021 Notes," the "2021 Notes").</w:t>
      </w:r>
    </w:p>
    <w:p>
      <w:pPr>
        <w:spacing w:after="0" w:line="17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2021 Notes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indenture for the 2021 Notes, dated as of October 16, 2013 (the "WML Indenture"). In either case, the redemption price would include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we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93"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SA's existing credit facilities. The 2021 Notes are not registered under the Securities Act of 1933, as amended (the "Securities Act"), and the 2021 Notes are subject to restrictions on transferability and resale.</w:t>
      </w:r>
    </w:p>
    <w:p>
      <w:pPr>
        <w:spacing w:after="0" w:line="18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85"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u w:val="single" w:color="auto"/>
          <w:color w:val="auto"/>
        </w:rPr>
        <w:t>Wynn Macau Credit Facilities</w:t>
      </w:r>
      <w:r>
        <w:rPr>
          <w:rFonts w:ascii="Times New Roman" w:cs="Times New Roman" w:eastAsia="Times New Roman" w:hAnsi="Times New Roman"/>
          <w:sz w:val="18"/>
          <w:szCs w:val="18"/>
          <w:color w:val="auto"/>
        </w:rPr>
        <w:t>. On September 30, 2015, we amended our Wynn Macau Credit Facilities. The borrowing availability was increased to $3.05 billion with the ability to upsize an additional $1 billion in equivalent senior secured loans upon satisfaction of various conditions. The senior secured term loan facility is repayable in graduating installments of between 2.5% and 7.33% of the principal amount on a quarterly basis commencing December 2018, with a final installment of 50% of the principal amount repayable in September 2021 (extended from July 2018). Any outstanding borrowings from the senior secured revolving credit facility will mature in September 2020 (extended from July 2017) by which time any outstanding borrowings from the senior secured revolving credit facility must be repaid. The Wynn Macau Credit Facilities bear interest at LIBOR or HIBOR plus a margin of 1.50% to 2.25% per annum based on Wynn Macau SA's Leverage Ratio (as defined in the Wynn Macau Credit Facilities). The commitment fee required to be paid for unborrowed amounts under the senior secured revolving credit facility, if any, is between 0.52% to 0.79% per annum, based on Wynn Macau SA's Leverage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The annual commitment fee is payable quarterly in arrears and is calculated based on the daily average of the unborrowed amounts.</w:t>
      </w:r>
    </w:p>
    <w:p>
      <w:pPr>
        <w:spacing w:after="0" w:line="22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w:t>
      </w:r>
    </w:p>
    <w:p>
      <w:pPr>
        <w:spacing w:after="0" w:line="18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5.5 to 1 for the fiscal year ending December 31, 2016, and an Interest Coverage Ratio (as defined in the Wynn Macau Credit Facilities) of not less than 2.00 to 1 at any time.</w:t>
      </w:r>
    </w:p>
    <w:p>
      <w:pPr>
        <w:spacing w:after="0" w:line="18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Borrowings under the Wynn Macau Credit Facilities will continue to be guaranteed by Palo,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gaming concession contract of Wynn Macau SA, Wynn Macau SA entered into a Bank Guarantee Reimbursement Agreement with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2016, the guarantee was in the amount of MOP 300 million (approximately $37.6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185"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Borrowings under the WML Finance Credit Facility are in Hong Kong dollars and are used for working capital requirements and general corporate purposes. The WML Finance Credit Facility matures in July 2018, at which time any outstanding borrowings must be repaid. The WML Finance Credit Facility bears interest initially at 1.50% per annum, such rate calculated as the interest rate paid by the lender as the deposit bank for the cash collateral deposited and pledged with the lender plus a margin of 0.40%. Under terms of the agreement, mandatory repayment is required upon a Change in Control or Material Adverse Effect, as defined in the agreement. The terms of the increased principal amount under the amendment are equivalent to the terms of the original credit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 Debt</w:t>
      </w:r>
    </w:p>
    <w:p>
      <w:pPr>
        <w:spacing w:after="0" w:line="22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Our U.S. related debt consists of first mortgage notes, senior notes and the Wynn America Credit Facilities. The Corporate related debt consists of the Redemption Note.</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Our first mortgage notes and senior notes rank pari passu in right of payment.</w:t>
      </w:r>
    </w:p>
    <w:p>
      <w:pPr>
        <w:spacing w:after="0" w:line="225" w:lineRule="exact"/>
        <w:rPr>
          <w:sz w:val="20"/>
          <w:szCs w:val="20"/>
          <w:color w:val="auto"/>
        </w:rPr>
      </w:pPr>
    </w:p>
    <w:p>
      <w:pPr>
        <w:jc w:val="both"/>
        <w:ind w:right="40" w:firstLine="392"/>
        <w:spacing w:after="0" w:line="272" w:lineRule="auto"/>
        <w:rPr>
          <w:sz w:val="20"/>
          <w:szCs w:val="20"/>
          <w:color w:val="auto"/>
        </w:rPr>
      </w:pPr>
      <w:r>
        <w:rPr>
          <w:rFonts w:ascii="Times New Roman" w:cs="Times New Roman" w:eastAsia="Times New Roman" w:hAnsi="Times New Roman"/>
          <w:sz w:val="17"/>
          <w:szCs w:val="17"/>
          <w:u w:val="single" w:color="auto"/>
          <w:color w:val="auto"/>
        </w:rPr>
        <w:t>2022 Notes</w:t>
      </w:r>
      <w:r>
        <w:rPr>
          <w:rFonts w:ascii="Times New Roman" w:cs="Times New Roman" w:eastAsia="Times New Roman" w:hAnsi="Times New Roman"/>
          <w:sz w:val="17"/>
          <w:szCs w:val="17"/>
          <w:color w:val="auto"/>
        </w:rPr>
        <w:t>. In March 2012, Wynn Las Vegas, LLC and Wynn Las Vegas Capital Corp., an indirect wholly owned subsidiary of Wynn Resorts (“Capital Corp.” and, together with Wynn Las Vegas, the "Issuers"), issued $900 million aggregate principal amount of the 5 3/8% First Mortgage Notes due 2022 (the "2022 Notes") pursuant to an indenture, dated as of March 12, 2012 (the “2022 Indenture”), among the Issuers, the Guarantors (as defined below) and U.S.</w:t>
      </w:r>
    </w:p>
    <w:p>
      <w:pPr>
        <w:spacing w:after="0" w:line="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Bank National Association, as trustee (the “Trustee”). The 2022 Notes will mature on March 15, 2022 and bear interest at the rate of 5 3/8% per annum. The Issuers may, at their option, redeem the 2022 Notes, in whole or in part, at any time or from time to time on or after March 15, 2017, in accordance with a premium schedule set forth in the 2022 Indenture, plus accrued and unpaid interest. If the Issuers undergo a change of control (as defined in the 2022 Indenture), the Issuers will be required to offer to repurchase the first mortgage notes at 101% of the principal amount, plus accrued and unpaid interest.</w:t>
      </w:r>
    </w:p>
    <w:p>
      <w:pPr>
        <w:spacing w:after="0" w:line="186"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8"/>
          <w:szCs w:val="18"/>
          <w:u w:val="single" w:color="auto"/>
          <w:color w:val="auto"/>
        </w:rPr>
        <w:t>2023 Notes</w:t>
      </w:r>
      <w:r>
        <w:rPr>
          <w:rFonts w:ascii="Times New Roman" w:cs="Times New Roman" w:eastAsia="Times New Roman" w:hAnsi="Times New Roman"/>
          <w:sz w:val="18"/>
          <w:szCs w:val="18"/>
          <w:color w:val="auto"/>
        </w:rPr>
        <w:t>. In May 2013, the Issuers issued $500 million aggregate principal amount of 4 1/4% Senior Notes due 2023 (the "2023 Notes") pursuant to an indenture, dated as of May 22, 2013 (the "2023 Indenture"), among the Issuers, the Guarantors and the Trustee. The 2023 Notes will mature on May 30, 2023 and bear interest at the rate of 4 1/4% per annum.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18" w:right="25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Issuers may, at their option, redeem the 2023 Notes, in whole or in part, at any time or from time to time prior to their stated maturity. The redemption price for 2023 Notes that are redeemed before February 28, 2023 will include a “make-whole” premium, plus accrued and unpaid interest. In the event of a change of control triggering event (as defined in the 2023 Indenture), the Issuers will be required to offer to repurchase the 2023 Notes at 101% of the principal amount, plus accrued and unpaid interest.</w:t>
      </w:r>
    </w:p>
    <w:p>
      <w:pPr>
        <w:spacing w:after="0" w:line="180"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u w:val="single" w:color="auto"/>
          <w:color w:val="auto"/>
        </w:rPr>
        <w:t>2025 Notes</w:t>
      </w:r>
      <w:r>
        <w:rPr>
          <w:rFonts w:ascii="Times New Roman" w:cs="Times New Roman" w:eastAsia="Times New Roman" w:hAnsi="Times New Roman"/>
          <w:sz w:val="18"/>
          <w:szCs w:val="18"/>
          <w:color w:val="auto"/>
        </w:rPr>
        <w:t>. In February 2015, the Issuers issued $1.8 billion aggregate principal amount of 5 1/2% Senior Notes due 2025 (the “2025 Notes”) pursuant to an indenture, dated as of February 18, 2015 (the "2025 Indenture"), among the Issuers, Guarantors and the Trustee. The 2025 Notes will mature on March 1, 2025 and bear interest at the rate of 5 1/2% per annum. The Issuers may, at their option, redeem the 2025 Notes, in whole or in part, at any time or from time to time prior to their stated maturity. The redemption price for 2023 Notes that are redeemed before December 1, 2024 will include a “make-whole” premium, plus accrued and unpaid interest. In the event of a change of control triggering event (as defined in the 2025 Indenture), the Issuers will be required to offer to repurchase the 2025 Notes at 101% of the principal amount, plus accrued and unpaid interest.</w:t>
      </w:r>
    </w:p>
    <w:p>
      <w:pPr>
        <w:spacing w:after="0" w:line="188"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Each of the 2022 Notes, 2023 Notes and 2025 Notes are senior obligations of the Issuers and are unsecured, except by a first priority pledge by Wynn Las Vegas Holdings, LLC of its equity interests in Wynn Las Vegas, LLC. If Wynn Resorts receives an investment grade rating from one or more ratings agencies, the first priority pledge securing the 2023 Notes and 2025 Notes will be released.</w:t>
      </w:r>
    </w:p>
    <w:p>
      <w:pPr>
        <w:spacing w:after="0" w:line="176"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Each of the 2023 Notes and 2025 Notes are jointly and severally guaranteed by all of the Issuers' subsidiaries, other than Capital Corp. which was a co-issuer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80"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2022 Indenture contains customary negative covenants and financial covenants, including, but not limited to, covenants that restrict the Issuers' and the Guarantors' ability to pay dividends or distributions or repurchase equity; incur additional debt; make investments; create liens on assets to secure debt; enter into transactions with affiliates; enter into sale-leaseback transactions; merge or consolidate with another company; and transfer and sell assets or create dividend and other payment restrictions affecting subsidiaries. Each of the 2023 Indenture and 2025 Indenture contains negative covenants and financial covenants, including, but not limited to,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Events of default under each of the 2022 Indenture, 2023 Indenture and 2025 Indenture include, among others, the following: default for 30 days in the payment of interest when due on the applicable notes; default in payment of the principal, or premium, if any, when due on the applicable notes; failure to comply with certain covenants in the applicable indenture; and certain events of bankruptcy or insolvency. In the case of an event of default arising from certain events of bankruptcy or insolvency with respect to the Issuers or Guarantors, all notes then outstanding will become due and payable immediately without further action or notice.</w:t>
      </w:r>
    </w:p>
    <w:p>
      <w:pPr>
        <w:spacing w:after="0" w:line="18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Each of the 2022 Notes, 2023 Notes and 2025 Notes are also subject to mandatory redemption requirements imposed by gaming laws and regulations of gaming authorities in Nevada.</w:t>
      </w:r>
    </w:p>
    <w:p>
      <w:pPr>
        <w:spacing w:after="0" w:line="162"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u w:val="single" w:color="auto"/>
          <w:color w:val="auto"/>
        </w:rPr>
        <w:t>Wynn America Credit Facilities</w:t>
      </w:r>
      <w:r>
        <w:rPr>
          <w:rFonts w:ascii="Times New Roman" w:cs="Times New Roman" w:eastAsia="Times New Roman" w:hAnsi="Times New Roman"/>
          <w:sz w:val="18"/>
          <w:szCs w:val="18"/>
          <w:color w:val="auto"/>
        </w:rPr>
        <w:t>. Under the Wynn America Credit Facilities, the senior secured revolving credit facility matures in November 2019, the WA Senior Term Loan Facility I is repayable in quarterly installments of $21.9 million commencing June 2018, with a final installment of $656.3 million repayable in November 2020 and the WA Senior Term Loan Facility II matures in November 2020. Subject to certain exceptions, the Wynn America Credit Facilities bear interest at either base rate plus 0.75% per annum or the reserve adjusted eurodollar rate plus 1.75% per annum. The annual fee required to pay for unborrowed amounts, if any, is 0.30% per annum, payable quarterly in arrears, calculated based on the daily average of the unborrowed amounts under such credit facilities.</w:t>
      </w:r>
    </w:p>
    <w:p>
      <w:pPr>
        <w:spacing w:after="0" w:line="18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Wynn America Credit Facilities contain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the opening of Wynn Boston Harbor occurs, the Maximum</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118" w:right="25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Consolidated Senior Secured Net Leverage Ratio is not to exceed 2.75 to 1. Commencing with the fiscal quarter ending December 31, 2015, the Minimum Consolidated EBITDA is not to be less than $200.0 million.</w:t>
      </w:r>
    </w:p>
    <w:p>
      <w:pPr>
        <w:spacing w:after="0" w:line="1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provided a completion guaranty in favor of the lenders under the Wynn America Credit Facilities to support the development and opening of Wynn Boston Harbor. Wynn America and the guarantors have entered into a security agreement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80"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u w:val="single" w:color="auto"/>
          <w:color w:val="auto"/>
        </w:rPr>
        <w:t>Redemption Note</w:t>
      </w:r>
      <w:r>
        <w:rPr>
          <w:rFonts w:ascii="Times New Roman" w:cs="Times New Roman" w:eastAsia="Times New Roman" w:hAnsi="Times New Roman"/>
          <w:sz w:val="18"/>
          <w:szCs w:val="18"/>
          <w:color w:val="auto"/>
        </w:rPr>
        <w:t>. Based on the Board of Directors' finding of "unsuitability," on February 18, 2012, we redeemed and canceled Aruze's 24,549,222 shares of Wynn Resorts' common stock. Following a finding of "unsuitability," our articles of incorporation authorize redemption at "fair value" of the shares held by unsuitable persons. Pursuant to the articles of incorporation, we issued the Redemption Note to Aruze,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subordinated to the prior payment in full of all existing and future obligations of Wynn Resorts and any of its affiliates in respect of indebtedness for borrowed money of any kind or nature. Aruze, Universal Entertainment Corporation and Kazuo Okada have challenged the redemption of Aruze's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1A—"Risk Factors" and Item 8—"Financial Statements and Supplementary Data," Note 17 "Commitments and Contingencies."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Affecting Liquidity</w:t>
      </w:r>
    </w:p>
    <w:p>
      <w:pPr>
        <w:spacing w:after="0" w:line="229"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Wynn Las Vegas, LLC, Wynn America, LLC and Wynn Macau SA debt instruments contain customary negative covenants and financial covenants, including, but not limited to, covenants that restrict their ability to pay dividends or distributions.</w:t>
      </w:r>
    </w:p>
    <w:p>
      <w:pPr>
        <w:spacing w:after="0" w:line="17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8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17 "Commitments and Contingencies."</w:t>
      </w:r>
    </w:p>
    <w:p>
      <w:pPr>
        <w:spacing w:after="0" w:line="176"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As of December 31, 2016, we had purchased a cumulative total of 12,804,954 shares of our common stock for a net cost of $1.1 billion under the program, with no purchases made under this program during the years ended December 31, 2016, 2015 and 2014.</w:t>
      </w:r>
    </w:p>
    <w:p>
      <w:pPr>
        <w:spacing w:after="0" w:line="18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interest rate swaps and foreign currency forward contracts. We do not have any retained or contingent interest in assets transferred to an unconsolidated entity. As of December 31, 2016, we had outstanding letters of credit totaling $13.7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scheduled contractual commitments as of December 31, 2016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80" w:type="dxa"/>
            <w:vAlign w:val="bottom"/>
          </w:tcPr>
          <w:p>
            <w:pPr>
              <w:jc w:val="center"/>
              <w:ind w:left="461"/>
              <w:spacing w:after="0" w:line="149" w:lineRule="exact"/>
              <w:rPr>
                <w:sz w:val="20"/>
                <w:szCs w:val="20"/>
                <w:color w:val="auto"/>
              </w:rPr>
            </w:pPr>
            <w:r>
              <w:rPr>
                <w:rFonts w:ascii="Times New Roman" w:cs="Times New Roman" w:eastAsia="Times New Roman" w:hAnsi="Times New Roman"/>
                <w:sz w:val="14"/>
                <w:szCs w:val="14"/>
                <w:b w:val="1"/>
                <w:bCs w:val="1"/>
                <w:color w:val="auto"/>
              </w:rPr>
              <w:t>Less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4 to 5</w:t>
            </w:r>
          </w:p>
        </w:tc>
        <w:tc>
          <w:tcPr>
            <w:tcW w:w="320" w:type="dxa"/>
            <w:vAlign w:val="bottom"/>
          </w:tcPr>
          <w:p>
            <w:pPr>
              <w:spacing w:after="0"/>
              <w:rPr>
                <w:sz w:val="12"/>
                <w:szCs w:val="12"/>
                <w:color w:val="auto"/>
              </w:rPr>
            </w:pPr>
          </w:p>
        </w:tc>
        <w:tc>
          <w:tcPr>
            <w:tcW w:w="12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80" w:type="dxa"/>
            <w:vAlign w:val="bottom"/>
          </w:tcPr>
          <w:p>
            <w:pPr>
              <w:jc w:val="center"/>
              <w:ind w:left="461"/>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677.3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10,323.7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interest payments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278.2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1,735.2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Estimated variable interest payments </w:t>
            </w:r>
            <w:r>
              <w:rPr>
                <w:rFonts w:ascii="Times New Roman" w:cs="Times New Roman" w:eastAsia="Times New Roman" w:hAnsi="Times New Roman"/>
                <w:sz w:val="14"/>
                <w:szCs w:val="14"/>
                <w:color w:val="auto"/>
              </w:rPr>
              <w:t>(1)</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contracts and commitments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357.9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(2) (3)</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141.9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commitments</w:t>
            </w:r>
          </w:p>
        </w:tc>
        <w:tc>
          <w:tcPr>
            <w:tcW w:w="980" w:type="dxa"/>
            <w:vAlign w:val="bottom"/>
            <w:tcBorders>
              <w:top w:val="single" w:sz="8" w:color="auto"/>
            </w:tcBorders>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951.7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5,253.7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5,611.8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13,495.1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820" w:right="120" w:hanging="488"/>
        <w:spacing w:after="0" w:line="282" w:lineRule="auto"/>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all periods represent our estimated future interest payments on our debt facilities based upon amounts outstanding and LIBOR or HIBOR rates as of December 31, 2016. Such rates continue at historical lows as of December 31, 2016. Actual rates will vary.</w:t>
      </w:r>
    </w:p>
    <w:p>
      <w:pPr>
        <w:spacing w:after="0" w:line="107" w:lineRule="exact"/>
        <w:rPr>
          <w:rFonts w:ascii="Times New Roman" w:cs="Times New Roman" w:eastAsia="Times New Roman" w:hAnsi="Times New Roman"/>
          <w:sz w:val="14"/>
          <w:szCs w:val="14"/>
          <w:color w:val="auto"/>
        </w:rPr>
      </w:pPr>
    </w:p>
    <w:p>
      <w:pPr>
        <w:ind w:left="820" w:right="180" w:hanging="488"/>
        <w:spacing w:after="0" w:line="257" w:lineRule="auto"/>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open purchase orders, future charitable contributions, fixed gaming tax payments in Macau, performance contracts and other contracts. As further discussed in Item 8 —"Financial Statements and Supplementary Data," Note 16 "Income Taxes" of this report, we had $90.5 million of unrecognized tax benefits as of December 31, 2016. Due to the inherent uncertainty of the underlying tax positions, it is not practicable to assign this liability to any particular year and therefore it is not included in the table above as of December 31, 2016.</w:t>
      </w:r>
    </w:p>
    <w:p>
      <w:pPr>
        <w:spacing w:after="0" w:line="293" w:lineRule="exact"/>
        <w:rPr>
          <w:rFonts w:ascii="Times New Roman" w:cs="Times New Roman" w:eastAsia="Times New Roman" w:hAnsi="Times New Roman"/>
          <w:sz w:val="14"/>
          <w:szCs w:val="14"/>
          <w:color w:val="auto"/>
        </w:rPr>
      </w:pPr>
    </w:p>
    <w:p>
      <w:pPr>
        <w:ind w:left="820" w:right="620" w:hanging="488"/>
        <w:spacing w:after="0" w:line="282" w:lineRule="auto"/>
        <w:tabs>
          <w:tab w:leader="none" w:pos="8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excludes community payments associated with the continuing operations of Wynn Boston Harbor, which commence upon the opening of the resort. These amounts are approximately $10.5 million per year with minimal annual increases.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U.S. GAAP. A summary of our significant accounting policies are presented in Item 8 —"Financial Statements and Supplementary Data," Note 2 "Summary of Significant Accounting Policies."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programs,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Construction and Property and Equipment Estimates</w:t>
      </w:r>
    </w:p>
    <w:p>
      <w:pPr>
        <w:spacing w:after="0" w:line="227"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is provided over the estimated useful lives of the assets using the straight-line method. We determine the estimated useful lives based on our experience with similar assets, estimate of the usage of the asset, and other factors specific to the asset. Depreciation expense related to capitalized construction costs is recognized when the related assets are placed in service. Upon the opening of our resorts, we begin recognizing depreciation expense on the fixed assets. The remaining estimated useful lives of assets are periodically reviewed and adjusted as necessary.</w:t>
      </w:r>
    </w:p>
    <w:p>
      <w:pPr>
        <w:spacing w:after="0" w:line="188"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w:t>
      </w:r>
    </w:p>
    <w:p>
      <w:pPr>
        <w:spacing w:after="0" w:line="162"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record the Redemption Note at its fair value in accordance with applicable accounting guidance. As of December 31, 2016 and 2015, the fair value of the Redemption Note was $1.82 billion and $1.88 billion, respectively. We utilized an independent third party valuation to assist in the determination of this fair value. In determining this fair value, we estimated the Redemption Note's present value using discounted cash flows with a probability-weighted expected return for redemption assumptions and a discount rate, which included time value and non-performance risk adjustments commensurate with the risk of the Redemption Note.</w:t>
      </w:r>
    </w:p>
    <w:p>
      <w:pPr>
        <w:spacing w:after="0" w:line="184"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Item 8 —"Financial Statements and Supplementary Data," Note 17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9"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In determining the appropriate discount rate to be used in the estimated present value, the Redemption Note's subordinated position and credit risk relative to all other debt in our capital structure and credit ratings associated with our traded debt were considered. Observable inputs for the risk free rate based on Federal Reserve rates for U.S. Treasury securities and credit risk spread based on a yield curve index of similarly rated debt were used.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2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December 28, 2016, we formed a joint venture (the "Retail Joint Venture") with Crown to own and operate approximately 88,000 square feet of existing retail space at Wynn Las Vegas. In connection with the transaction, we transferred certain assets and liabilities with a net book value of $31.8 million associated with the existing Wynn Las Vegas retail stores from Wynn Las Vegas, LLC, to the Retail Joint Venture. We sold Crown a 49.9% ownership interest in the Retail Joint Venture for consideration of $292.0 million, which consisted of $217.0 million in cash and a $75.0 million interest-free note that matures in full on January 3, 2018.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We maintain a 50.1% ownership interest in the Retail Joint Venture and are the managing member. Our responsibilities with respect to the Retail Joint Venture include day-to-day business operations, property management services and a role in the leasing decisions of the retail space.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We assessed our ownership in the Retail Joint Venture based on consolidation accounting guidance with an evaluation being performed to determine if the Retail Joint Venture is a variable interest entity (“VIE”), if we have a variable interest in the Retail Joint Venture and if we are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concluded that the Retail Joint Venture is a VIE and we are the primary beneficiary based on our involvement in the leasing activities of the Retail Joint Venture. As a result, we consolidate all of the Retail Joint Venture’s assets, liabilities and results of operations. We will evaluate our primary beneficiary designation on an ongoing basis and will assess the appropriateness of the Retail Joint Venture’s VIE status when changes occur.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and Fair Value</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We have made investments in domestic and foreign corporate debt securities and commercial paper. Our investment policy requires investments to be investment grade and limits the amount of exposure to any one issuer with the objective of minimizing the potential risk of principal loss. We determine the appropriate classification of our investments at the time of purchase and reevaluate such designation as of each balance sheet date. Our investments are reported at fair value, with unrealized gains and losses, net of tax, reported in other comprehensive income (loss).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8"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measure certain of our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obtain pricing information in determining the fair value of our available-for-sale securities from independent pricing vendors. Based on our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We have not made adjustments to such prices. Each quarter, we validate the fair value pricing methodology to determine the fair value consistent with applicable accounting guidance and to confirm that the securities are classified properly in the fair value hierarchy. We also compare the pricing received from our vendors to independent sources for the same or similar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Estimated Doubtful Accounts Receivable</w:t>
      </w:r>
    </w:p>
    <w:p>
      <w:pPr>
        <w:spacing w:after="0" w:line="22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8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8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and 2015, 88.1% and 85.1%, respectively, of our casino accounts receivable were owed by customers from foreign countries, primarily in Asia. In addition to enforceability issues, the collectability of markers given to foreign customers is affected by a number of factors including changes in currency exchange rates and economic conditions in the customers' home countries.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regularly evaluate our reserve for bad debts based on a specific review of customer accounts and outstanding gaming promoter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key statistics related to our casino accounts receivable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211,557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190,294</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casino accounts receivable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53,860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66,109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as a percentage of casino accounts receivable</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7"/>
        </w:trPr>
        <w:tc>
          <w:tcPr>
            <w:tcW w:w="8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each of our resorts. As of December 31, 2016 and 2015, 49.2% and 38.7%, respectively, of our outstanding casino accounts receivable balance originated at our Macau Operations.</w:t>
      </w:r>
    </w:p>
    <w:p>
      <w:pPr>
        <w:spacing w:after="0" w:line="180"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a 100 basis point change in the allowance for doubtful accounts as a percentage of casino accounts receivable would change the provision for doubtful accounts by approximately $2.1 million.</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reserve for bad debts. Accordingly, the associated provision for doubtful accounts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including interest rate swaps and foreign currency forward contracts, are used to manage interest rate and foreign currency exposures. The fair value of derivative financial instruments is recognized as an asset or liability at each balance sheet date, with changes in fair value affecting net income as the Company's derivative financial instruments do not qualify for hedge accounting.</w:t>
      </w:r>
    </w:p>
    <w:p>
      <w:pPr>
        <w:spacing w:after="0" w:line="17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seek to manage our interest rate risk associated with variable-rate borrowings, through balancing fixed-rate and variable-rate borrowings with the use of interest rate swaps. We currently have three interest rate swap agreements that convert a portion of our variable rate borrowings under the Wynn Macau Senior Term Loan Facility to a fixed rate. Under the agreements, we pay a fixed interest rate on notional amounts corresponding to borrowings in exchange for receipts on the same amount at a variable interest rate based on the applicable LIBOR or HIBOR at the time of payment.</w:t>
      </w:r>
    </w:p>
    <w:p>
      <w:pPr>
        <w:spacing w:after="0" w:line="18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measure the fair value of our interest rate swaps on a recurring basis. We categorize our interest rate swap contracts as Level 2 in the hierarchy as described above.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option pricing model to determine the grant-date fair value of our stock options. The Black-Scholes model uses assumptions of expected volatility,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6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A hypothetical 10% change in the volatility assumption for our options granted in 2016 would not have a material effect on the change in fair value. Expected term represents the estimated average time between the option's grant date and its exercise date. A hypothetical 10% change in the expected term assumption for our options granted in 2016 would not have a material effect on the change in fair value. These assumed changes in fair value would have been recognized over the vesting schedule of such awards.</w:t>
      </w:r>
    </w:p>
    <w:p>
      <w:pPr>
        <w:spacing w:after="0" w:line="189"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8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2016, we have a foreign tax credit ("FTC") carryover of $3.27 billion and we have recorded a valuation allowance of $3.20 billion against this asset based on our estimate of future realization. The FTCs are attributable to the Macau special gaming tax, which is 35% of gross gaming revenue in Macau. The U.S. taxing regime only allows a credit for 35% of foreign source income. In assessing the need for a valuation allowance, we rely solely on the reversal of net taxable temporary differences that result in foreign source income during the 10-year foreign tax credit carryforward period.</w:t>
      </w:r>
    </w:p>
    <w:p>
      <w:pPr>
        <w:spacing w:after="0" w:line="180"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7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applicable, we recognize accrued penalties and interest related to unrecognized tax benefits in the provision for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related disclosure at Item 8—"Financial Statements and Supplementary Data,"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80"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provides estimated future cash flow information derived from our best estimates of repayments as of December 31, 2016, of our expected long-term indebtedness and related weighted average interest rates by expected maturity dates. However, we cannot predict the LIBOR or HIBOR rates that will be in effect in the future. As of December 31, 2016, such rates remain at historic lows. Actual rates will vary. The one-month LIBOR and HIBOR rates as of December 31, 2016 of 0.77% and 0.75%, respectively, were used for all variable rate calculations in the table below.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is presented in U.S. dollar equivalents as applicable.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Expected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18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5,136.4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6,486.4</w:t>
            </w:r>
          </w:p>
        </w:tc>
      </w:tr>
      <w:tr>
        <w:trPr>
          <w:trHeight w:val="27"/>
        </w:trPr>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Pr>
          <w:p>
            <w:pPr>
              <w:spacing w:after="0"/>
              <w:rPr>
                <w:sz w:val="21"/>
                <w:szCs w:val="21"/>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1,668.3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1,491.7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3,837.3</w:t>
            </w:r>
          </w:p>
        </w:tc>
      </w:tr>
      <w:tr>
        <w:trPr>
          <w:trHeight w:val="27"/>
        </w:trPr>
        <w:tc>
          <w:tcPr>
            <w:tcW w:w="1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1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18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227"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 change in interest rate swap fair value in our Consolidated Statements of Income, as the swaps do not qualify for hedge accounting.</w:t>
      </w:r>
    </w:p>
    <w:p>
      <w:pPr>
        <w:spacing w:after="0" w:line="176"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 exchange for receipts on the same amount at a variable interest rate based on the applicable HIBOR at the time of payment. These interest rate swaps fix the all-in interest rate on such amounts at 2.23% to 2.98%. These interest rate swap agreements mature in July 2017.</w:t>
      </w:r>
    </w:p>
    <w:p>
      <w:pPr>
        <w:spacing w:after="0" w:line="18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0.68% on notional amounts corresponding to borrowings of $243.8 million in exchange for receipts on the same amount at a variable rate based on the applicable LIBOR at the time of payment. This interest rate swap fixes the all-in interest rate on such amounts at 2.18% to 2.93%. This interest rate swap agreement matures in July 2017.</w:t>
      </w:r>
    </w:p>
    <w:p>
      <w:pPr>
        <w:spacing w:after="0" w:line="176"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interest rate swaps of $1.1 million were included in prepaid expenses and other in the accompanying Consolidated Balance Sheets. As of December 31, 2015, interest rate swaps of $0.7 million were included in other assets and $0.1 million were included in other long-term liabilities in the accompanying Consolidated Balance Sheets.</w:t>
      </w:r>
    </w:p>
    <w:p>
      <w:pPr>
        <w:spacing w:after="0" w:line="1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fair value approximates the amount we would pay or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Interest Rate Swap Information</w:t>
      </w:r>
    </w:p>
    <w:p>
      <w:pPr>
        <w:spacing w:after="0" w:line="227"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our interest rate swaps, by contractual maturity dates, as of December 31, 2016, using estimated future LIBOR and HIBOR rates based upon implied forward rates in the yield curve. The information is presented in U.S. dollar equivalents, which is our reporting currency:</w:t>
      </w:r>
    </w:p>
    <w:p>
      <w:pPr>
        <w:spacing w:after="0" w:line="18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4"/>
          <w:szCs w:val="14"/>
          <w:b w:val="1"/>
          <w:bCs w:val="1"/>
          <w:color w:val="auto"/>
        </w:rPr>
        <w:t>Expected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2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2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notional amount</w:t>
            </w:r>
          </w:p>
        </w:tc>
        <w:tc>
          <w:tcPr>
            <w:tcW w:w="12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w w:val="98"/>
              </w:rPr>
              <w:t>$753.0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753.0</w:t>
            </w:r>
          </w:p>
        </w:tc>
      </w:tr>
      <w:tr>
        <w:trPr>
          <w:trHeight w:val="243"/>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pay rate</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0.71%</w:t>
            </w:r>
          </w:p>
        </w:tc>
        <w:tc>
          <w:tcPr>
            <w:tcW w:w="340" w:type="dxa"/>
            <w:vAlign w:val="bottom"/>
          </w:tcPr>
          <w:p>
            <w:pPr>
              <w:spacing w:after="0"/>
              <w:rPr>
                <w:sz w:val="21"/>
                <w:szCs w:val="21"/>
                <w:color w:val="auto"/>
              </w:rPr>
            </w:pP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7"/>
        </w:trPr>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receive rate</w:t>
            </w:r>
          </w:p>
        </w:tc>
        <w:tc>
          <w:tcPr>
            <w:tcW w:w="1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0.95%</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7"/>
        </w:trPr>
        <w:tc>
          <w:tcPr>
            <w:tcW w:w="25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use derivative financial instruments, other financial instruments or derivative commodity instruments for trading or speculative purposes.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jc w:val="both"/>
        <w:ind w:right="38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approximately 66.5% of our debt was based on fixed rates, including the notional amounts related to interest rate swaps. Based on our borrowings as of December 31, 2016, an assumed 1% change in the variable rates would cause our annual interest cost to change by $34.6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 SA's concession agreement with the government of Macau is the Macau pataca. The Macau pataca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76" w:lineRule="exact"/>
        <w:rPr>
          <w:sz w:val="20"/>
          <w:szCs w:val="20"/>
          <w:color w:val="auto"/>
        </w:rPr>
      </w:pPr>
    </w:p>
    <w:p>
      <w:pPr>
        <w:jc w:val="both"/>
        <w:ind w:right="740" w:firstLine="432"/>
        <w:spacing w:after="0" w:line="266" w:lineRule="auto"/>
        <w:rPr>
          <w:sz w:val="20"/>
          <w:szCs w:val="20"/>
          <w:color w:val="auto"/>
        </w:rPr>
      </w:pPr>
      <w:r>
        <w:rPr>
          <w:rFonts w:ascii="Times New Roman" w:cs="Times New Roman" w:eastAsia="Times New Roman" w:hAnsi="Times New Roman"/>
          <w:sz w:val="18"/>
          <w:szCs w:val="18"/>
          <w:color w:val="auto"/>
        </w:rPr>
        <w:t>We manage exposure to foreign currency risks associated with future scheduled interest payments through the use of foreign currency forward contracts. These contracts involve the exchange of one currency for a second currency at a future date and are with a counter party, which is a major international financial institution.</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December 31, 2016, an assumed 1% change in the US dollar/Hong Kong dollar exchange rate would cause a foreign currency transaction gain/loss of approximately $28.2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9900" w:type="dxa"/>
            <w:vAlign w:val="bottom"/>
            <w:gridSpan w:val="9"/>
          </w:tcPr>
          <w:p>
            <w:pPr>
              <w:spacing w:after="0" w:line="201"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1480" w:type="dxa"/>
            <w:vAlign w:val="bottom"/>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rPr>
              <w:t>63</w:t>
            </w:r>
          </w:p>
        </w:tc>
      </w:tr>
      <w:tr>
        <w:trPr>
          <w:trHeight w:val="250"/>
        </w:trPr>
        <w:tc>
          <w:tcPr>
            <w:tcW w:w="74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Report of Independent Registered Public Accounting Firm on the Consolidated Financial Statements</w:t>
              </w:r>
            </w:hyperlink>
          </w:p>
        </w:tc>
        <w:tc>
          <w:tcPr>
            <w:tcW w:w="24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r>
      <w:tr>
        <w:trPr>
          <w:trHeight w:val="250"/>
        </w:trPr>
        <w:tc>
          <w:tcPr>
            <w:tcW w:w="72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Balance Sheets</w:t>
              </w:r>
            </w:hyperlink>
          </w:p>
        </w:tc>
        <w:tc>
          <w:tcPr>
            <w:tcW w:w="2660" w:type="dxa"/>
            <w:vAlign w:val="bottom"/>
            <w:gridSpan w:val="2"/>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2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Statements of Income</w:t>
              </w:r>
            </w:hyperlink>
          </w:p>
        </w:tc>
        <w:tc>
          <w:tcPr>
            <w:tcW w:w="7340" w:type="dxa"/>
            <w:vAlign w:val="bottom"/>
            <w:gridSpan w:val="7"/>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3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Consolidated Statements of Comprehensive Income</w:t>
              </w:r>
            </w:hyperlink>
          </w:p>
        </w:tc>
        <w:tc>
          <w:tcPr>
            <w:tcW w:w="6160" w:type="dxa"/>
            <w:vAlign w:val="bottom"/>
            <w:gridSpan w:val="3"/>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9900" w:type="dxa"/>
            <w:vAlign w:val="bottom"/>
            <w:gridSpan w:val="9"/>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Statements of Stockholders’ Equity</w:t>
              </w:r>
            </w:hyperlink>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35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Cash Flows</w:t>
              </w:r>
            </w:hyperlink>
          </w:p>
        </w:tc>
        <w:tc>
          <w:tcPr>
            <w:tcW w:w="6360" w:type="dxa"/>
            <w:vAlign w:val="bottom"/>
            <w:gridSpan w:val="4"/>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9900" w:type="dxa"/>
            <w:vAlign w:val="bottom"/>
            <w:gridSpan w:val="9"/>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Notes to Consolidated Financial Statements</w:t>
              </w:r>
            </w:hyperlink>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Wynn Resorts, Limited and subsidiaries:</w:t>
      </w:r>
    </w:p>
    <w:p>
      <w:pPr>
        <w:spacing w:after="0" w:line="225"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We have audited Wynn Resorts, Limited and subsidiaries' (the "Company") internal control over financial reporting as of December 31, 2016,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8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firstLine="432"/>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our opinion, the Company maintained, in all material respects, effective internal control over financial reporting as of December 31, 2016, based on the COSO criteria.</w:t>
      </w:r>
    </w:p>
    <w:p>
      <w:pPr>
        <w:spacing w:after="0" w:line="162" w:lineRule="exact"/>
        <w:rPr>
          <w:sz w:val="20"/>
          <w:szCs w:val="20"/>
          <w:color w:val="auto"/>
        </w:rPr>
      </w:pPr>
    </w:p>
    <w:p>
      <w:pPr>
        <w:ind w:right="360" w:firstLine="432"/>
        <w:spacing w:after="0" w:line="31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the 2016 consolidated financial statements of Wynn Resorts, Limited and subsidiaries and our report dated February 24, 2017 expressed an unqualified opinion thereon.</w:t>
      </w:r>
    </w:p>
    <w:p>
      <w:pPr>
        <w:spacing w:after="0" w:line="13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Wynn Resorts, Limited and subsidiaries:</w:t>
      </w:r>
    </w:p>
    <w:p>
      <w:pPr>
        <w:spacing w:after="0" w:line="22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2016 and 2015, and the related consolidated statements of income, comprehensive income, stockholders' equity and cash flows for each of the three years in the period ended December 31,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Wynn Resorts, Limited and subsidiaries at December 31, 2016 and 2015, and the consolidated results of their operations and their cash flows for each of the three years in the period ended December 31, 2016,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8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Company's internal control over financial reporting as of December 31, 2016, based on criteria established in Internal Control—Integrated Framework issued by the Committee of Sponsoring Organizations of the Treadway Commission (2013 framework) and our report dated February 24, 2017 expressed an unqualified opinion thereon.</w:t>
      </w:r>
    </w:p>
    <w:p>
      <w:pPr>
        <w:spacing w:after="0" w:line="18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118" w:right="27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tcBorders>
              <w:bottom w:val="single" w:sz="8" w:color="CCEEFF"/>
            </w:tcBorders>
            <w:shd w:val="clear" w:color="auto" w:fill="CCEEFF"/>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2,453,122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2,080,089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securities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173,437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115,297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218,968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187,887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91,541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74,493</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53,299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48,012</w:t>
            </w:r>
          </w:p>
        </w:tc>
        <w:tc>
          <w:tcPr>
            <w:tcW w:w="0" w:type="dxa"/>
            <w:vAlign w:val="bottom"/>
          </w:tcPr>
          <w:p>
            <w:pPr>
              <w:spacing w:after="0"/>
              <w:rPr>
                <w:sz w:val="1"/>
                <w:szCs w:val="1"/>
                <w:color w:val="auto"/>
              </w:rPr>
            </w:pP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2,990,367</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2,505,778</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8,259,631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7,477,478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192,823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128,023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136,256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113,588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110,972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269,125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225,888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11,953,557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10,459,159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9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298,505</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267,791</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land concession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16,000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599,566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436,409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Gaming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162,706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98,559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165,501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129,697</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98,118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98,129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63,586</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1,416,301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1,110,171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10,125,352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9,149,665</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141,121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66,561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36,357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11,695,676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10,437,314</w:t>
            </w:r>
          </w:p>
        </w:tc>
        <w:tc>
          <w:tcPr>
            <w:tcW w:w="0" w:type="dxa"/>
            <w:vAlign w:val="bottom"/>
          </w:tcPr>
          <w:p>
            <w:pPr>
              <w:spacing w:after="0"/>
              <w:rPr>
                <w:sz w:val="1"/>
                <w:szCs w:val="1"/>
                <w:color w:val="auto"/>
              </w:rPr>
            </w:pPr>
          </w:p>
        </w:tc>
      </w:tr>
      <w:tr>
        <w:trPr>
          <w:trHeight w:val="20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par value $0.01; 400,000,000 shares authorized; 115,036,945 and 114,610,441 shares issued; 101,799,471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and 101,571,909 shares outstanding,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1,146</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at cost; 13,237,474 and 13,038,532 shares,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(1,166,697)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(1,152,680)</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1,226,915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983,131</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95,097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55,332</w:t>
            </w:r>
          </w:p>
        </w:tc>
        <w:tc>
          <w:tcPr>
            <w:tcW w:w="0" w:type="dxa"/>
            <w:vAlign w:val="bottom"/>
          </w:tcPr>
          <w:p>
            <w:pPr>
              <w:spacing w:after="0"/>
              <w:rPr>
                <w:sz w:val="1"/>
                <w:szCs w:val="1"/>
                <w:color w:val="auto"/>
              </w:rPr>
            </w:pP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Wynn Resorts, Limited stockholders' equity (deficit)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157,949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(111,979)</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133,824</w:t>
            </w:r>
          </w:p>
        </w:tc>
        <w:tc>
          <w:tcPr>
            <w:tcW w:w="0" w:type="dxa"/>
            <w:vAlign w:val="bottom"/>
          </w:tcPr>
          <w:p>
            <w:pPr>
              <w:spacing w:after="0"/>
              <w:rPr>
                <w:sz w:val="1"/>
                <w:szCs w:val="1"/>
                <w:color w:val="auto"/>
              </w:rPr>
            </w:pP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257,881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21,845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11,953,557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10,459,159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3,268,141</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2,932,419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4,274,221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603,272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542,762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601,514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597,080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604,701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363,428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350,622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401,181</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4,836,355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4,418,621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5,822,865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(389,204)</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4,466,297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4,075,883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5,433,661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2,079,740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2,667,013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148,338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337,206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163,754</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492,464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154,717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314,119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10,437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3,944,635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3,417,069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4,167,383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521,662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658,814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1,266,278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20,441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 Redemption Note fair value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310,597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958,862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302,469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281,524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962,644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(231,090)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241,975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195,290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731,554</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and diluted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100,927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101,931</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type w:val="continuous"/>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302,469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281,524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962,644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available-for-sale securities, before and after tax</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302,811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279,990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962,167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(231,021)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Wynn Resorts, Limited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242,367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193,877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731,146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Balances, January 1, 2014</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40" w:right="300"/>
        <w:spacing w:after="0"/>
        <w:rPr>
          <w:sz w:val="20"/>
          <w:szCs w:val="20"/>
          <w:color w:val="auto"/>
        </w:rPr>
      </w:pPr>
      <w:r>
        <w:rPr>
          <w:rFonts w:ascii="Times New Roman" w:cs="Times New Roman" w:eastAsia="Times New Roman" w:hAnsi="Times New Roman"/>
          <w:sz w:val="13"/>
          <w:szCs w:val="13"/>
          <w:color w:val="auto"/>
        </w:rPr>
        <w:t>Net unrealized gain (loss) on investment securities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Cancellation of restricted stock</w:t>
      </w:r>
    </w:p>
    <w:p>
      <w:pPr>
        <w:spacing w:after="0" w:line="121" w:lineRule="exact"/>
        <w:rPr>
          <w:sz w:val="20"/>
          <w:szCs w:val="20"/>
          <w:color w:val="auto"/>
        </w:rPr>
      </w:pPr>
    </w:p>
    <w:p>
      <w:pPr>
        <w:ind w:left="40" w:right="80"/>
        <w:spacing w:after="0"/>
        <w:rPr>
          <w:sz w:val="20"/>
          <w:szCs w:val="20"/>
          <w:color w:val="auto"/>
        </w:rPr>
      </w:pPr>
      <w:r>
        <w:rPr>
          <w:rFonts w:ascii="Times New Roman" w:cs="Times New Roman" w:eastAsia="Times New Roman" w:hAnsi="Times New Roman"/>
          <w:sz w:val="13"/>
          <w:szCs w:val="13"/>
          <w:color w:val="auto"/>
        </w:rPr>
        <w:t>Shares repurchased by the company and held as treasury shares</w:t>
      </w:r>
    </w:p>
    <w:p>
      <w:pPr>
        <w:spacing w:after="0" w:line="25" w:lineRule="exact"/>
        <w:rPr>
          <w:sz w:val="20"/>
          <w:szCs w:val="20"/>
          <w:color w:val="auto"/>
        </w:rPr>
      </w:pPr>
    </w:p>
    <w:p>
      <w:pPr>
        <w:ind w:left="40" w:right="300"/>
        <w:spacing w:after="0"/>
        <w:rPr>
          <w:sz w:val="20"/>
          <w:szCs w:val="20"/>
          <w:color w:val="auto"/>
        </w:rPr>
      </w:pPr>
      <w:r>
        <w:rPr>
          <w:rFonts w:ascii="Times New Roman" w:cs="Times New Roman" w:eastAsia="Times New Roman" w:hAnsi="Times New Roman"/>
          <w:sz w:val="13"/>
          <w:szCs w:val="13"/>
          <w:color w:val="auto"/>
        </w:rPr>
        <w:t>Shares of subsidiary purchased for share award plan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Cash dividends declared</w:t>
      </w:r>
    </w:p>
    <w:p>
      <w:pPr>
        <w:spacing w:after="0" w:line="121" w:lineRule="exact"/>
        <w:rPr>
          <w:sz w:val="20"/>
          <w:szCs w:val="20"/>
          <w:color w:val="auto"/>
        </w:rPr>
      </w:pPr>
    </w:p>
    <w:p>
      <w:pPr>
        <w:ind w:left="40" w:right="48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Balances, December 31, 2014</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unrealized loss on investment securities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p>
      <w:pPr>
        <w:spacing w:after="0" w:line="121" w:lineRule="exact"/>
        <w:rPr>
          <w:sz w:val="20"/>
          <w:szCs w:val="20"/>
          <w:color w:val="auto"/>
        </w:rPr>
      </w:pPr>
    </w:p>
    <w:p>
      <w:pPr>
        <w:ind w:left="40" w:right="80"/>
        <w:spacing w:after="0"/>
        <w:rPr>
          <w:sz w:val="20"/>
          <w:szCs w:val="20"/>
          <w:color w:val="auto"/>
        </w:rPr>
      </w:pPr>
      <w:r>
        <w:rPr>
          <w:rFonts w:ascii="Times New Roman" w:cs="Times New Roman" w:eastAsia="Times New Roman" w:hAnsi="Times New Roman"/>
          <w:sz w:val="13"/>
          <w:szCs w:val="13"/>
          <w:color w:val="auto"/>
        </w:rPr>
        <w:t>Shares repurchased by the company and held as treasury shares</w:t>
      </w:r>
    </w:p>
    <w:p>
      <w:pPr>
        <w:spacing w:after="0" w:line="25" w:lineRule="exact"/>
        <w:rPr>
          <w:sz w:val="20"/>
          <w:szCs w:val="20"/>
          <w:color w:val="auto"/>
        </w:rPr>
      </w:pPr>
    </w:p>
    <w:p>
      <w:pPr>
        <w:ind w:left="40" w:right="200"/>
        <w:spacing w:after="0"/>
        <w:rPr>
          <w:sz w:val="20"/>
          <w:szCs w:val="20"/>
          <w:color w:val="auto"/>
        </w:rPr>
      </w:pPr>
      <w:r>
        <w:rPr>
          <w:rFonts w:ascii="Times New Roman" w:cs="Times New Roman" w:eastAsia="Times New Roman" w:hAnsi="Times New Roman"/>
          <w:sz w:val="13"/>
          <w:szCs w:val="13"/>
          <w:color w:val="auto"/>
        </w:rPr>
        <w:t>Shares of subsidiary repurchased for share award plan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Cash dividends declared</w:t>
      </w:r>
    </w:p>
    <w:p>
      <w:pPr>
        <w:spacing w:after="0" w:line="121" w:lineRule="exact"/>
        <w:rPr>
          <w:sz w:val="20"/>
          <w:szCs w:val="20"/>
          <w:color w:val="auto"/>
        </w:rPr>
      </w:pPr>
    </w:p>
    <w:p>
      <w:pPr>
        <w:ind w:left="40" w:right="48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Balances, December 31, 2015</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unrealized gain on investment securities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Cancellation of restricted stock</w:t>
      </w:r>
    </w:p>
    <w:p>
      <w:pPr>
        <w:spacing w:after="0" w:line="121" w:lineRule="exact"/>
        <w:rPr>
          <w:sz w:val="20"/>
          <w:szCs w:val="20"/>
          <w:color w:val="auto"/>
        </w:rPr>
      </w:pPr>
    </w:p>
    <w:p>
      <w:pPr>
        <w:ind w:left="40" w:right="40"/>
        <w:spacing w:after="0"/>
        <w:rPr>
          <w:sz w:val="20"/>
          <w:szCs w:val="20"/>
          <w:color w:val="auto"/>
        </w:rPr>
      </w:pPr>
      <w:r>
        <w:rPr>
          <w:rFonts w:ascii="Times New Roman" w:cs="Times New Roman" w:eastAsia="Times New Roman" w:hAnsi="Times New Roman"/>
          <w:sz w:val="13"/>
          <w:szCs w:val="13"/>
          <w:color w:val="auto"/>
        </w:rPr>
        <w:t>Shares repurchased by the Company and held as treasury shares</w:t>
      </w:r>
    </w:p>
    <w:p>
      <w:pPr>
        <w:spacing w:after="0" w:line="25" w:lineRule="exact"/>
        <w:rPr>
          <w:sz w:val="20"/>
          <w:szCs w:val="20"/>
          <w:color w:val="auto"/>
        </w:rPr>
      </w:pPr>
    </w:p>
    <w:p>
      <w:pPr>
        <w:ind w:left="40" w:right="200"/>
        <w:spacing w:after="0"/>
        <w:rPr>
          <w:sz w:val="20"/>
          <w:szCs w:val="20"/>
          <w:color w:val="auto"/>
        </w:rPr>
      </w:pPr>
      <w:r>
        <w:rPr>
          <w:rFonts w:ascii="Times New Roman" w:cs="Times New Roman" w:eastAsia="Times New Roman" w:hAnsi="Times New Roman"/>
          <w:sz w:val="13"/>
          <w:szCs w:val="13"/>
          <w:color w:val="auto"/>
        </w:rPr>
        <w:t>Shares of subsidiary repurchased for share award plan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Sale of ownership interest in subsidiary, net of income tax of $49.8 million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Cash dividends declared</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Distribution to noncontrolling interest</w:t>
      </w:r>
    </w:p>
    <w:p>
      <w:pPr>
        <w:spacing w:after="0" w:line="121" w:lineRule="exact"/>
        <w:rPr>
          <w:sz w:val="20"/>
          <w:szCs w:val="20"/>
          <w:color w:val="auto"/>
        </w:rPr>
      </w:pPr>
    </w:p>
    <w:p>
      <w:pPr>
        <w:ind w:left="40" w:right="48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40" w:right="780"/>
        <w:spacing w:after="0" w:line="515" w:lineRule="auto"/>
        <w:rPr>
          <w:sz w:val="20"/>
          <w:szCs w:val="20"/>
          <w:color w:val="auto"/>
        </w:rPr>
      </w:pPr>
      <w:r>
        <w:rPr>
          <w:rFonts w:ascii="Times New Roman" w:cs="Times New Roman" w:eastAsia="Times New Roman" w:hAnsi="Times New Roman"/>
          <w:sz w:val="12"/>
          <w:szCs w:val="12"/>
          <w:color w:val="auto"/>
        </w:rPr>
        <w:t xml:space="preserve">Stock-based compensation </w:t>
      </w:r>
      <w:r>
        <w:rPr>
          <w:rFonts w:ascii="Times New Roman" w:cs="Times New Roman" w:eastAsia="Times New Roman" w:hAnsi="Times New Roman"/>
          <w:sz w:val="12"/>
          <w:szCs w:val="12"/>
          <w:b w:val="1"/>
          <w:bCs w:val="1"/>
          <w:color w:val="auto"/>
        </w:rPr>
        <w:t>Balances, December 31, 2016</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left="880" w:right="2420"/>
        <w:spacing w:after="0" w:line="265" w:lineRule="auto"/>
        <w:rPr>
          <w:sz w:val="20"/>
          <w:szCs w:val="20"/>
          <w:color w:val="auto"/>
        </w:rPr>
      </w:pPr>
      <w:r>
        <w:rPr>
          <w:rFonts w:ascii="Times New Roman" w:cs="Times New Roman" w:eastAsia="Times New Roman" w:hAnsi="Times New Roman"/>
          <w:sz w:val="16"/>
          <w:szCs w:val="16"/>
          <w:b w:val="1"/>
          <w:bCs w:val="1"/>
          <w:color w:val="auto"/>
        </w:rPr>
        <w:t>WYNN RESORTS, LIMITED AND SUBSIDIARIES CONSOLIDATED STATEMENTS OF STOCKHOLDERS' EQUITY (in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Wynn Resorts,</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Limited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tcPr>
          <w:p>
            <w:pPr>
              <w:spacing w:after="0"/>
              <w:rPr>
                <w:sz w:val="11"/>
                <w:szCs w:val="11"/>
                <w:color w:val="auto"/>
              </w:rPr>
            </w:pPr>
          </w:p>
        </w:tc>
        <w:tc>
          <w:tcPr>
            <w:tcW w:w="6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76"/>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equity (deficit)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equity</w:t>
            </w:r>
          </w:p>
        </w:tc>
      </w:tr>
      <w:tr>
        <w:trPr>
          <w:trHeight w:val="241"/>
        </w:trPr>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101,192,408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(1,143,419)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888,727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2,913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66,130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(184,507)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316,858</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132,351</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731,554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731,554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231,090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962,644</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211,133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11,645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11,859</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(9,578)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(633,197)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(633,138)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(945,425)</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9,376</w:t>
            </w:r>
          </w:p>
        </w:tc>
      </w:tr>
      <w:tr>
        <w:trPr>
          <w:trHeight w:val="28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38,761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38,761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44,906</w:t>
            </w:r>
          </w:p>
        </w:tc>
      </w:tr>
      <w:tr>
        <w:trPr>
          <w:trHeight w:val="250"/>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101,439,297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(1,145,481)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948,566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2,505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164,487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(28,779)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239,870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211,091</w:t>
            </w:r>
          </w:p>
        </w:tc>
      </w:tr>
      <w:tr>
        <w:trPr>
          <w:trHeight w:val="241"/>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195,290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195,290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86,234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281,524</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50,716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3,025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3,026</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132,765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(50,869)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(7,199)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(7,199)</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(4,391)</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(304,445)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(304,445)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(499,884)</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387</w:t>
            </w:r>
          </w:p>
        </w:tc>
      </w:tr>
      <w:tr>
        <w:trPr>
          <w:trHeight w:val="28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34,323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34,323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38,825</w:t>
            </w:r>
          </w:p>
        </w:tc>
      </w:tr>
      <w:tr>
        <w:trPr>
          <w:trHeight w:val="250"/>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101,571,909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(1,152,680)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983,131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1,092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55,332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(111,979)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133,824</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21,845</w:t>
            </w:r>
          </w:p>
        </w:tc>
      </w:tr>
      <w:tr>
        <w:trPr>
          <w:trHeight w:val="241"/>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241,975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241,975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60,494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302,469</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522</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3,487</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412,504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(198,942)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(14,017)</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(7,580)</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224,013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224,013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15,890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239,903</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(111,716)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(313,926)</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802</w:t>
            </w:r>
          </w:p>
        </w:tc>
      </w:tr>
      <w:tr>
        <w:trPr>
          <w:trHeight w:val="28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20,957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20,957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24,589</w:t>
            </w:r>
          </w:p>
        </w:tc>
      </w:tr>
      <w:tr>
        <w:trPr>
          <w:trHeight w:val="237"/>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101,799,471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1,150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(1,166,697)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1,226,915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1,484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95,097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157,949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99,932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257,881</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-6911340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-6568440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-6191250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-5848350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-5470525</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-5093335</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-4716145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-4373245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-4029710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-3686810</wp:posOffset>
            </wp:positionV>
            <wp:extent cx="724662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-3275330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-2898140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-2555240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-2211705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-1868805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-1525905</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-1114425</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-736600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-359410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2380" w:space="40"/>
            <w:col w:w="900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type w:val="continuous"/>
        </w:sectPr>
      </w:pPr>
    </w:p>
    <w:bookmarkStart w:id="68" w:name="page69"/>
    <w:bookmarkEnd w:id="68"/>
    <w:p>
      <w:pPr>
        <w:spacing w:after="0" w:line="5"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ectPr>
          <w:pgSz w:w="11900" w:h="16843"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Excess tax benefits from stock-based compensation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Amortization and write off of deferred financing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Property charges and other</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Equity in income of unconsolidated affiliates,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Change in interest rate swap fair value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Change in Redemption Note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Increase (decrease) in cash from changes in:</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Inventories and prepaid expenses and other</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flows used in investing activities: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Capital expenditures, net of construction payables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 of investment securities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sale or maturity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Restricted cash</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Return of investment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 of intangibles and other assets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exercise of stock options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Excess tax benefits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Sale of ownership interest in subsidiary</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Distribution to noncontrolling interest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Repayments of long-term debt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Shares of subsidiary repurchased for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Payments on long-term land concession obligation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Payment of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Balance, beginning of year</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752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529"/>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302,469</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281,524</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962,644</w:t>
            </w:r>
          </w:p>
        </w:tc>
      </w:tr>
      <w:tr>
        <w:trPr>
          <w:trHeight w:val="540"/>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404,730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322,629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314,119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43,722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38,475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39,196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36,649</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126,004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9,569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8,203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3,906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42,670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9,664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10,466</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4,393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(65,043)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540"/>
        </w:trPr>
        <w:tc>
          <w:tcPr>
            <w:tcW w:w="3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(39,272)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47,011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(6,917)</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163,217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(155,399)</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116,985</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(107,613)</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(102,827)</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970,546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572,813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1,098,317</w:t>
            </w:r>
          </w:p>
        </w:tc>
      </w:tr>
      <w:tr>
        <w:trPr>
          <w:trHeight w:val="529"/>
        </w:trPr>
        <w:tc>
          <w:tcPr>
            <w:tcW w:w="3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(1,225,943)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(1,921,240)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(1,221,357)</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(196,750)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(200,258)</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144,829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247,723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200,090</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198,943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(124,583)</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3,872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37,254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32,813</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(1,288,250)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(1,891,558)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(1,114,352)</w:t>
            </w:r>
          </w:p>
        </w:tc>
      </w:tr>
      <w:tr>
        <w:trPr>
          <w:trHeight w:val="529"/>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3,487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11,859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9,339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217,000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(325,217)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(499,107)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(942,928)</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1,430,313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5,290,747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958,008</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(400,707)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(3,342,106)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(199,739)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(190,763)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(15,978)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(29,338)</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(5,381)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(193,588)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(38,683)</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691,866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1,216,258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(235,625)</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(1,129)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529"/>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373,033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(252,877)</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2,080,089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2,182,164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2,435,041</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2,453,122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2,080,089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2,182,164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43" w:orient="portrait"/>
          <w:cols w:equalWidth="0" w:num="2">
            <w:col w:w="6360" w:space="720"/>
            <w:col w:w="4340"/>
          </w:cols>
          <w:pgMar w:left="240" w:top="118" w:right="239" w:bottom="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Supplemental cash flow disclosures</w:t>
            </w: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paid for interest, net of amounts capitalized</w:t>
            </w:r>
          </w:p>
        </w:tc>
        <w:tc>
          <w:tcPr>
            <w:tcW w:w="110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265,076</w:t>
            </w: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291,313</w:t>
            </w: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295,041</w:t>
            </w:r>
          </w:p>
        </w:tc>
        <w:tc>
          <w:tcPr>
            <w:tcW w:w="0" w:type="dxa"/>
            <w:vAlign w:val="bottom"/>
          </w:tcPr>
          <w:p>
            <w:pPr>
              <w:spacing w:after="0"/>
              <w:rPr>
                <w:sz w:val="1"/>
                <w:szCs w:val="1"/>
                <w:color w:val="auto"/>
              </w:rPr>
            </w:pPr>
          </w:p>
        </w:tc>
      </w:tr>
      <w:tr>
        <w:trPr>
          <w:trHeight w:val="78"/>
        </w:trPr>
        <w:tc>
          <w:tcPr>
            <w:tcW w:w="64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1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2,040</w:t>
            </w:r>
          </w:p>
        </w:tc>
        <w:tc>
          <w:tcPr>
            <w:tcW w:w="5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2,873</w:t>
            </w:r>
          </w:p>
        </w:tc>
        <w:tc>
          <w:tcPr>
            <w:tcW w:w="5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3,041</w:t>
            </w:r>
          </w:p>
        </w:tc>
        <w:tc>
          <w:tcPr>
            <w:tcW w:w="0" w:type="dxa"/>
            <w:vAlign w:val="bottom"/>
          </w:tcPr>
          <w:p>
            <w:pPr>
              <w:spacing w:after="0"/>
              <w:rPr>
                <w:sz w:val="1"/>
                <w:szCs w:val="1"/>
                <w:color w:val="auto"/>
              </w:rPr>
            </w:pPr>
          </w:p>
        </w:tc>
      </w:tr>
      <w:tr>
        <w:trPr>
          <w:trHeight w:val="73"/>
        </w:trPr>
        <w:tc>
          <w:tcPr>
            <w:tcW w:w="64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capitalized into construction</w:t>
            </w:r>
          </w:p>
        </w:tc>
        <w:tc>
          <w:tcPr>
            <w:tcW w:w="110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92</w:t>
            </w: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5,710</w:t>
            </w:r>
          </w:p>
        </w:tc>
        <w:tc>
          <w:tcPr>
            <w:tcW w:w="0" w:type="dxa"/>
            <w:vAlign w:val="bottom"/>
          </w:tcPr>
          <w:p>
            <w:pPr>
              <w:spacing w:after="0"/>
              <w:rPr>
                <w:sz w:val="1"/>
                <w:szCs w:val="1"/>
                <w:color w:val="auto"/>
              </w:rPr>
            </w:pPr>
          </w:p>
        </w:tc>
      </w:tr>
      <w:tr>
        <w:trPr>
          <w:trHeight w:val="78"/>
        </w:trPr>
        <w:tc>
          <w:tcPr>
            <w:tcW w:w="64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accounts and construction payables related to property and equipment</w:t>
            </w:r>
          </w:p>
        </w:tc>
        <w:tc>
          <w:tcPr>
            <w:tcW w:w="11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(34,049)</w:t>
            </w:r>
          </w:p>
        </w:tc>
        <w:tc>
          <w:tcPr>
            <w:tcW w:w="5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13,031</w:t>
            </w:r>
          </w:p>
        </w:tc>
        <w:tc>
          <w:tcPr>
            <w:tcW w:w="5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132,079</w:t>
            </w:r>
          </w:p>
        </w:tc>
        <w:tc>
          <w:tcPr>
            <w:tcW w:w="0" w:type="dxa"/>
            <w:vAlign w:val="bottom"/>
          </w:tcPr>
          <w:p>
            <w:pPr>
              <w:spacing w:after="0"/>
              <w:rPr>
                <w:sz w:val="1"/>
                <w:szCs w:val="1"/>
                <w:color w:val="auto"/>
              </w:rPr>
            </w:pPr>
          </w:p>
        </w:tc>
      </w:tr>
      <w:tr>
        <w:trPr>
          <w:trHeight w:val="73"/>
        </w:trPr>
        <w:tc>
          <w:tcPr>
            <w:tcW w:w="64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dividends payable on unvested restricted stock included in other accrued liabilities</w:t>
            </w:r>
          </w:p>
        </w:tc>
        <w:tc>
          <w:tcPr>
            <w:tcW w:w="110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(11,291)</w:t>
            </w: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777</w:t>
            </w:r>
          </w:p>
        </w:tc>
        <w:tc>
          <w:tcPr>
            <w:tcW w:w="52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2,497</w:t>
            </w:r>
          </w:p>
        </w:tc>
        <w:tc>
          <w:tcPr>
            <w:tcW w:w="0" w:type="dxa"/>
            <w:vAlign w:val="bottom"/>
          </w:tcPr>
          <w:p>
            <w:pPr>
              <w:spacing w:after="0"/>
              <w:rPr>
                <w:sz w:val="1"/>
                <w:szCs w:val="1"/>
                <w:color w:val="auto"/>
              </w:rPr>
            </w:pPr>
          </w:p>
        </w:tc>
      </w:tr>
      <w:tr>
        <w:trPr>
          <w:trHeight w:val="78"/>
        </w:trPr>
        <w:tc>
          <w:tcPr>
            <w:tcW w:w="64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18" w:right="239" w:bottom="0" w:gutter="0" w:footer="0" w:header="0"/>
          <w:type w:val="continuous"/>
        </w:sectPr>
      </w:pPr>
    </w:p>
    <w:bookmarkStart w:id="69" w:name="page70"/>
    <w:bookmarkEnd w:id="69"/>
    <w:p>
      <w:pPr>
        <w:spacing w:after="0"/>
        <w:tabs>
          <w:tab w:leader="none" w:pos="6720" w:val="left"/>
          <w:tab w:leader="none" w:pos="7560" w:val="left"/>
          <w:tab w:leader="none" w:pos="8220" w:val="left"/>
          <w:tab w:leader="none" w:pos="9300" w:val="left"/>
          <w:tab w:leader="none" w:pos="9700" w:val="left"/>
          <w:tab w:leader="none" w:pos="10760" w:val="left"/>
        </w:tabs>
        <w:rPr>
          <w:sz w:val="20"/>
          <w:szCs w:val="20"/>
          <w:color w:val="auto"/>
        </w:rPr>
      </w:pPr>
      <w:r>
        <w:rPr>
          <w:rFonts w:ascii="Times New Roman" w:cs="Times New Roman" w:eastAsia="Times New Roman" w:hAnsi="Times New Roman"/>
          <w:sz w:val="14"/>
          <w:szCs w:val="14"/>
          <w:color w:val="auto"/>
        </w:rPr>
        <w:t>Note receivable acquired from sale of ownership interest in subsidiary</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72,464</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ectPr>
          <w:pgSz w:w="11900" w:h="16838" w:orient="portrait"/>
          <w:cols w:equalWidth="0" w:num="1">
            <w:col w:w="10940"/>
          </w:cols>
          <w:pgMar w:left="620" w:top="11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6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40"/>
          </w:cols>
          <w:pgMar w:left="620" w:top="118" w:right="339" w:bottom="1440" w:gutter="0" w:footer="0" w:header="0"/>
          <w:type w:val="continuous"/>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0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and the Company operates the Wynn Macau and Wynn Palace resorts, which it refers to as Macau Operations. In Las Vegas, Nevada, with the exception of the retail space described below, the Company owns 100% of and operates Wynn Las Vegas, which it also refers to as its Las Vegas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Wynn Macau features two luxury hotel towers with a total of 1,008 guest rooms and suites, approximately 284,000 square feet of casino space, casual and fine dining in eight restaurants, approximately 31,000 square feet of meeting and convention space, approximately 57,000 square feet of retail space, a rotunda show and recreation and leisure facilities.</w:t>
      </w:r>
    </w:p>
    <w:p>
      <w:pPr>
        <w:spacing w:after="0" w:line="17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August 22, 2016, the Company opened Wynn Palace, an integrated resort in the Cotai area of Macau. Wynn Palace features a luxury hotel tower with 1,706 guest rooms, suites and villas, approximately 420,000 square feet of casino space, 10 food and beverage outlets, approximately 40,000 square feet of meeting and convention space, approximately 105,000 square feet of retail space, public attractions, including a performance lake and floral art displays, and recreation and leisure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Wynn Las Vegas features two luxury hotel towers with a total of 4,748 guest rooms, suites and villas, approximately 189,000 square feet of casino space, 33 food and beverage outlets, an on-site 18-hole golf course, approximately 290,000 square feet of meeting and convention space, approximately 99,000 square feet of retail space, as well as two showrooms, three nightclubs and a beach club, and recreation and leisure facilities.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December 2016, the Company formed a joint venture with Crown Acquisitions Inc. ("Crown") to own and operate approximately 88,000 square feet of existing retail space (of which the Company owns 50.1%) and signed an agreement with Crown to form a joint venture to own and operate approximately 73,000 square feet of additional retail space currently under construction at Wynn Las Vegas. The Company expects to open the additional retail space in the first quarter of 2018. For more information on the joint venture, see Note 3, "Retail Joint Venture."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Project</w:t>
      </w:r>
    </w:p>
    <w:p>
      <w:pPr>
        <w:spacing w:after="0" w:line="227"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In November 2014, the Company was awarded a gaming license to develop and construct Wynn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Wynn Boston Harbor in mid-2019.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its majority-owned subsidiaries and entities the Company identifies as a variable interest entity ("VIE") and of which the Company is determined to be the primary beneficiary. In April 2016, the Company dissolved its 50%-owned joint venture operating the Ferrari and Maserati automobile dealership inside Wynn Las Vegas, which was closed in October 2015 and accounted for under the equity method. All significant intercompany accounts and transactions have been eliminated. Certain amounts in the consolidated financial statements for the previous years have been reclassified to be consistent with the current year presentation. These reclassifications had no effect on the previously reported net income.</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240" w:top="118" w:right="31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$1.11 billion and $846.3 million as of December 31, 2016 and 2015, respectively, were invested in bank time deposits, money market funds and commercial paper. In addition, the Company held bank deposits and cash on hand of approximately $1.34 billion and $1.23 billion as of December 31, 2016 and 2015,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Company's restricted cash consists of collateral associated with borrowings under a revolving credit facility and cash held in trust in accordance with the Company's majority owned subsidiary's share award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domestic and foreign short-term and long-term investments in corporate bonds and commercial paper reported at fair value, with unrealized gains and losses, net of tax, reported in other comprehensive income (loss). Short-term investments have a maturity date of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December 31, 2016 and 2015, 88.1% and 85.1%,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Inventories consist of retail merchandise and food and beverage items, which are stated at the lower of cost or market value and certain operating supplies. Cost is determined by the first-in, first-out, weighted average and specific identification methods.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Purchases of property and equipment are stated at cost. Depreciation is provided over the estimated useful lives of the assets using the straight-line method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10 to 45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10 to 45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25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Airplanes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20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3 to 20 years</w:t>
            </w:r>
          </w:p>
        </w:tc>
      </w:tr>
    </w:tbl>
    <w:p>
      <w:pPr>
        <w:spacing w:after="0" w:line="225"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$94.1 million, $53.3 million and $33.5 million was capitalized for the years ended December 31, 2016, 2015 and 2014,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primarily of its Macau gaming concession and Massachusetts gaming license. Finite-lived intangible assets are amortized over the shorter of their contractual terms or estimated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Long-lived assets, which are to be held and used, including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22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Deferred financing costs incurred in connection with the issuance of the Company's revolving credit facilities are presented in noncurrent assets on the Consolidated Balance Sheets. All other deferred financing costs are presented as a direct reduction of long-term debt on the Consolidated Balance Sheets. See the Recently Issued and Adopted Accounting Standards section below for details on the presentation change of deferred financing costs. Approximately $18.1 million, $16.9 million and $12.6 million was amortized to interest expense during the years ended December 31, 2016, 2015 and 2014,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18" w:right="25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and foreign currency exposures. These derivative financial instruments include interest rate swaps and foreign currency forward contracts. The fair value of derivative financial instruments is recognized as an asset or liability at each balance sheet date, with changes in fair value affecting net income as the Company's derivative financial instruments do not qualify for hedge accounting.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The Redemption Price Promissory Note (the "Redemption Note") is recorded at fair value in accordance with applicable accounting guidance. As of December 31, 2016 and 2015, the fair value of the Redemption Note was $1.82 billion and $1.88 billion, respectively.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0"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17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8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jc w:val="both"/>
        <w:ind w:right="100" w:firstLine="405"/>
        <w:spacing w:after="0" w:line="257"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The commissions rebated directly or indirectly through games promoters to customers, cash discounts, other cash incentives and points earned by customers from the Company's loyalty programs are recorded as a reduction to casino revenues. Rooms, food and beverage, entertainment and other operating revenues are recognized when services are performed.</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6"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retail value of providing such promotional allowances is as follows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2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211,822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199,896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133,984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162,712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23,975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26,596</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370,058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342,738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389,204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9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cost of providing such promotional allowances, which is included primarily in casino expenses, is as follows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63,448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51,775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54,981</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113,341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120,070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14,977</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193,959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173,029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190,028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Loyalty Programs</w:t>
      </w:r>
    </w:p>
    <w:p>
      <w:pPr>
        <w:spacing w:after="0" w:line="227"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Company offers loyalty programs at both its Macau Operations and its Las Vegas Operations. Under the program at its Las Vegas Operations, customers earn points based on their level of slots play, which can be redeemed for free play. Under the program at its Macau Operations, customers earn points based on their level of table games and slots play, which can be redeemed for free play, gifts and complimentary dining and retail shopping. The points are recognized as a liability and as a separate element of the gaming transaction with allocation of the consideration received between the points and gaming transaction. The initial recognition of the point liability is at fair value based on points earned multiplied by redemption value, less an estimate for points not expected to be redeemed. The revenue from the points is recognized when redeemed.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 in the jurisdictions in which it operates, subject to applicable jurisdictional adjustments. These gaming taxes are an assessment on the Company's gross gaming revenues and are recorded as casino expenses in the accompanying Consolidated Statements of Income. These taxes totaled $1.32 billion, $1.15 billion and $1.82 billion for the years ended December 31, 2016, 2015 and 2014,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$37.0 million, $25.2 million and $23.3 million for the years ended December 31, 2016, 2015 and 2014,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227"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Pre-opening costs represent personnel and other costs incurred prior to the opening of new ventures and are expensed as incurred. During the years ended December 31, 2016, 2015 and 2014, the Company incurred pre-opening costs primarily in connection with the development of Wynn Palace and Wynn Boston Harbor.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8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applicable, the Company will recognize accrued penalties and interest related to unrecognized tax benefits in the provision for 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ind w:right="300" w:firstLine="432"/>
        <w:spacing w:after="0" w:line="261" w:lineRule="auto"/>
        <w:rPr>
          <w:sz w:val="20"/>
          <w:szCs w:val="20"/>
          <w:color w:val="auto"/>
        </w:rPr>
      </w:pPr>
      <w:r>
        <w:rPr>
          <w:rFonts w:ascii="Times New Roman" w:cs="Times New Roman" w:eastAsia="Times New Roman" w:hAnsi="Times New Roman"/>
          <w:sz w:val="18"/>
          <w:szCs w:val="18"/>
          <w:color w:val="auto"/>
        </w:rPr>
        <w:t>Gains or losses from foreign currency remeasurements are included in other income (expense) in the accompanying Consolidated Statements of Income.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22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Comprehensive income includes net income and all other non-stockholder changes in equity, or other comprehensive income (loss). Components of the Company's comprehensive income are reported in the accompanying Consolidated Statements of Stockholders' Equity and Consolidated Statements of Comprehensive Income. The balance of accumulated other comprehensive income consists of currency translation adjustments and net unrealized gains or losses on available-for-sale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40" w:top="118" w:right="27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assets and liabilities carried at fair value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2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1,106,606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1,102,738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301,460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192,823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192,823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1,819,359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1,819,359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16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120" w:type="dxa"/>
            <w:vAlign w:val="bottom"/>
            <w:tcBorders>
              <w:bottom w:val="single" w:sz="8" w:color="auto"/>
            </w:tcBorders>
            <w:gridSpan w:val="6"/>
          </w:tcPr>
          <w:p>
            <w:pPr>
              <w:jc w:val="center"/>
              <w:ind w:left="86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shd w:val="clear" w:color="auto" w:fill="CCEEFF"/>
          </w:tcPr>
          <w:p>
            <w:pPr>
              <w:spacing w:after="0"/>
              <w:rPr>
                <w:sz w:val="12"/>
                <w:szCs w:val="12"/>
                <w:color w:val="auto"/>
              </w:rPr>
            </w:pPr>
          </w:p>
        </w:tc>
        <w:tc>
          <w:tcPr>
            <w:tcW w:w="1580" w:type="dxa"/>
            <w:vAlign w:val="bottom"/>
            <w:gridSpan w:val="3"/>
            <w:vMerge w:val="restart"/>
            <w:shd w:val="clear" w:color="auto" w:fill="CCEEFF"/>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shd w:val="clear" w:color="auto" w:fill="CCEEFF"/>
          </w:tcPr>
          <w:p>
            <w:pPr>
              <w:spacing w:after="0"/>
              <w:rPr>
                <w:sz w:val="12"/>
                <w:szCs w:val="12"/>
                <w:color w:val="auto"/>
              </w:rPr>
            </w:pPr>
          </w:p>
        </w:tc>
        <w:tc>
          <w:tcPr>
            <w:tcW w:w="1580" w:type="dxa"/>
            <w:vAlign w:val="bottom"/>
            <w:gridSpan w:val="3"/>
            <w:vMerge w:val="continue"/>
            <w:shd w:val="clear" w:color="auto" w:fill="CCEEFF"/>
          </w:tcPr>
          <w:p>
            <w:pPr>
              <w:spacing w:after="0"/>
              <w:rPr>
                <w:sz w:val="12"/>
                <w:szCs w:val="12"/>
                <w:color w:val="auto"/>
              </w:rPr>
            </w:pPr>
          </w:p>
        </w:tc>
        <w:tc>
          <w:tcPr>
            <w:tcW w:w="1220" w:type="dxa"/>
            <w:vAlign w:val="bottom"/>
            <w:vMerge w:val="restart"/>
            <w:shd w:val="clear" w:color="auto" w:fill="CCEEFF"/>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20" w:type="dxa"/>
            <w:vAlign w:val="bottom"/>
            <w:shd w:val="clear" w:color="auto" w:fill="CCEEFF"/>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0"/>
        </w:trPr>
        <w:tc>
          <w:tcPr>
            <w:tcW w:w="5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20" w:type="dxa"/>
            <w:vAlign w:val="bottom"/>
            <w:shd w:val="clear" w:color="auto" w:fill="CCEEFF"/>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846,281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846,095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251,553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251,553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1,884,402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1,884,402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there were no cash equivalents categorized as Level 2 held in foreign currencies. As of December 31, 2015, 16% of the Company's cash equivalents categorized as Level 2 were deposits held in foreign currencies.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Wynn Resorts by the weighted average number of shares outstanding during the year.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241,975</w:t>
            </w:r>
          </w:p>
        </w:tc>
        <w:tc>
          <w:tcPr>
            <w:tcW w:w="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195,290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731,554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100,927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Potential dilutive effect of stock options and restricted stock</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101,855</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101,671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101,931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 per common share, 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84"/>
        </w:trPr>
        <w:tc>
          <w:tcPr>
            <w:tcW w:w="70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Anti-dilutive stock options and restricted stock excluded from the calculation of diluted earnings</w:t>
            </w:r>
          </w:p>
        </w:tc>
        <w:tc>
          <w:tcPr>
            <w:tcW w:w="3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1"/>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which require the compensation cost relating to share-based payment transactions be recognized in the Company's Consolidated Statements of Income.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The Company's stock-based employee compensation arrangements are more fully discussed in Note 15 "Stock-Based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Standards</w:t>
      </w:r>
    </w:p>
    <w:p>
      <w:pPr>
        <w:spacing w:after="0" w:line="227"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November 2016, the Financial Accounting Standards Board ("FASB") issued an accounting standards update that changes the classification of restricted cash in the statement of cash flows. The new guidance requires that amounts generally described as restricted cash or restricted cash equivalents should be included with cash and cash equivalents when reconciling the beginning-of-period and end-of-period total amounts shown on the statement of cash flows. The effective date for this guidance is for financial statements for fiscal years beginning after December 15, 2017, and interim periods within those fiscal periods and early application is permitted. The new guidance should be adopted on a retrospective basis. The Company is currently assessing the impact the adoption of this standard will have on its consolidated financial statements.</w:t>
      </w:r>
    </w:p>
    <w:p>
      <w:pPr>
        <w:spacing w:after="0" w:line="18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In October 2016, the FASB issued an accounting standards update to require the recognition of the income tax consequences of an intra-entity transfer of an asset, other than inventory, when the transfer occurs, rather than deferring such recognition until the asset is sold to an outside party. The effective date for this guidance is for financial statements for fiscal years beginning after December 15, 2017, and interim periods within those fiscal periods and early application is permitted. The amendments in the new guidance should be adopted on a retrospective basis. The Company is currently assessing the impact the adoption of this standard will have on its consolidated financial statements.</w:t>
      </w:r>
    </w:p>
    <w:p>
      <w:pPr>
        <w:spacing w:after="0" w:line="18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August 2016, the FASB issued an accounting standards update that clarifies the classification of certain cash receipts and cash payments on the statement of cash flows. In particular, the new guidance clarifies the classification related to several types of cash flows; including items such as debt extinguishment costs and distributions received from equity method investees. The new guidance also provides a three-step approach for classifying cash receipts and payments that have aspects of more than one class of cash flows. The effective date for this guidance is for financial statements for fiscal years beginning after December 15, 2017, and interim periods within those fiscal periods and early application is permitted. The Company is currently assessing the impact the adoption of this guidance will have on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March 2016, the FASB issued an accounting standards update that involves several aspects of the accounting for share-based payment transactions, including the income tax consequences, classification of awards as either equity or liabilities, and classification on the statement of cash flows. Under the new guidance, income tax benefits and deficiencies are to be recognized as income tax expense or benefit in the income statement and the tax effects of exercised or vested awards should be treated as discrete items in the reporting period in which they occur. An entity should also recognize excess tax benefits regardless of whether the benefit reduces taxes payable in the current period. Excess tax benefits should be classified along with other income tax cash flows as an operating activity. In regard to forfeitures, the entity may make an entity-wide accounting policy election to either estimate the number of awards that are expected to vest or account for forfeitures when they occur. The effective date for this guidance is for financial statements for fiscal years beginning after December 15, 2016, and interim periods within those fiscal periods and early application is permitted. The Company adopted this guidance on January 1, 2017, and does not expect the adoption of this update to have a material effect on its consolidated financial statements.</w:t>
      </w:r>
    </w:p>
    <w:p>
      <w:pPr>
        <w:spacing w:after="0" w:line="18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The new standard is effective for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8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effective date for this guidance is for financial statements issued for fiscal years beginning after December 15, 2017. Early application is permitted as of the beginning of the fiscal year of adoption. The Company is currently assessing the impact the adoption of this standard will have on its consolidated financial statements.</w:t>
      </w:r>
    </w:p>
    <w:p>
      <w:pPr>
        <w:spacing w:after="0" w:line="185"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April 2015, the FASB issued an accounting standards update that requires deferred financing costs related to a recognized debt liability to be presented on the balance sheet as a direct reduction from the carrying amount of that debt liability, consistent with debt discounts. The recognition and measurement guidance for deferred financing costs are not affected by the amendments in this update. In August 2015, the FASB issued an accounting standards update that clarifies that the guidance issued in April 2015 does not apply to line-of-credit arrangements. According to the additional guidance, deferred financing costs related to line-of-credit arrangements will continue to be presented as an asset and subsequently amortized ratably over the term of the arrangement. The effective date for this guidance is for financial statements for fiscal years beginning after December 15, 2015, and interim periods within those fiscal years. The Company adopted the guidance on January 1, 2016, with retrospective application in the accompanying Consolidated Balance Sheet as of December 31, 2015. This change in accounting principle resulted in net deferred financing costs of $63.1 million incurred in connection with the issuance of the Company's long-term debt (excluding revolving credit facilities) being reclassified from noncurrent assets to a direct reduction of the long-term debt balance as of December 31, 2015. The presentation of the $41.3 million of net deferred financing costs incurred in connection with the issuance of the Company's revolving credit facilities as of December 31, 2015, are not affected by the adoption of this new accounting guidance and are included in other assets on the Consolidated Balance Sheets.</w:t>
      </w:r>
    </w:p>
    <w:p>
      <w:pPr>
        <w:spacing w:after="0" w:line="19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118" w:right="25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guidance recognized at the date of initial application. In August 2015, the FASB issued an accounting standards update that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guidance will have on its consolidated financial statements. The Company expects the goods and services provided to customers without charge currently included in both gross revenues and promotional allowances in the accompanying Consolidated Statements of Income will be presented on a net basis.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Period Adjustments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2016, the Company identified $21.9 million and $3.7 million of additional interest that should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instead of being expensed during the years ended December 31, 2015 and 2014, respectively. Considering both quantitative and qualitative factors,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the amounts were immaterial to any previously issued financial statements and to the full year results for 2016. Accordingly,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corrected these immaterial amounts during the first quarter of the year ended December 31, 2016, resulting in a decrease to interest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$25.6 million and increases to net income attributable to Wynn Resorts, Limited of $18.5 million and basic and diluted net income per common share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$0.18. Had these amounts been corrected in the appropriate periods, it would have resulted in a decrease to interest expense of $21.9 million and increases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Wynn Resorts, Limited of $15.8 million and basic and diluted net income per common share of $0.16, for the year ended December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2015, and a decrease to interest expense of $3.7 million and increases to net income attributable to Wynn Resorts, Limited of $2.7 million and basic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net income per common share of $0.03 and $0.02, respectively, for the year ended December 31, 2014.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Retail Joint Venture</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December 28, 2016, the Company formed a joint venture (the "Retail Joint Venture") with Crown to own and operate approximately 88,000 square feet of existing retail space at Wynn Las Vegas. In connection with the transaction, the Company transferred certain assets and liabilities with a net book value of $31.8 million associated with the existing Wynn Las Vegas retail stores from Wynn Las Vegas, LLC, to the Retail Joint Venture. The Company sold Crown a 49.9% ownership interest in the Retail Joint Venture for consideration of $292.0 million, which consisted of $217.0 million in cash and a $75.0 million interest-free note that matures in full on January 3, 2018. The cash proceeds will be used to fund future development opportunities and for general corporate purposes.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186"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Also in December 2016, the Company entered into an agreement with Crown to form a joint venture that will own approximately 73,000 square feet of additional retail space that is currently under construction at Wynn Las Vegas. Crown will pay the Company a fixed amount of $180.0 million for a 49.9% ownership interest in the new joint venture prior to the expected opening for business in the first quarter of 2018.</w:t>
      </w:r>
    </w:p>
    <w:p>
      <w:pPr>
        <w:spacing w:after="0" w:line="17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4"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2016, the Retail Joint Venture had total assets of $33.6 million and total liabilities of $2.1 million.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Accumulated Other Comprehensive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interests, in accumulated other comprehensive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3"/>
                <w:szCs w:val="13"/>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3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 on</w:t>
            </w: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240" w:type="dxa"/>
            <w:vAlign w:val="bottom"/>
          </w:tcPr>
          <w:p>
            <w:pPr>
              <w:spacing w:after="0"/>
              <w:rPr>
                <w:sz w:val="16"/>
                <w:szCs w:val="16"/>
                <w:color w:val="auto"/>
              </w:rPr>
            </w:pPr>
          </w:p>
        </w:tc>
        <w:tc>
          <w:tcPr>
            <w:tcW w:w="136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2015</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other comprehensive income (loss)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securities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and foreign corporate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245,425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244,724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243,857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242,614</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56,764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56,736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302,189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252,804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251,553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For investments with unrealized losses as of December 31, 2016,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7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these investment securities as of December 31, 2016, by contractual maturity,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5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5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173,437</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5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100,589</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after two years through three years</w:t>
            </w:r>
          </w:p>
        </w:tc>
        <w:tc>
          <w:tcPr>
            <w:tcW w:w="5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27,434</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spacing w:after="0"/>
              <w:rPr>
                <w:sz w:val="22"/>
                <w:szCs w:val="22"/>
                <w:color w:val="auto"/>
              </w:rPr>
            </w:pPr>
          </w:p>
        </w:tc>
        <w:tc>
          <w:tcPr>
            <w:tcW w:w="5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301,460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Receivables,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190,294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40,256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43,989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273,710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254,944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218,968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187,887</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834,420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804,512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7,623,069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3,975,419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Airplanes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179,730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194,412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2,181,515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1,809,938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316,516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316,681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299,686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3,217,117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11,434,936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10,318,079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(3,175,305)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(2,840,601)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8,259,631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7,477,478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2016, 2015, and 2014 was $398.2 million, $317.8 million, and $311.6 million, respectively.</w:t>
      </w:r>
    </w:p>
    <w:p>
      <w:pPr>
        <w:spacing w:after="0" w:line="225"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2016, construction in progress consisted primarily of costs capitalized, including interest, for the construction of Wynn Boston Harbor. As of December 31, 2015, construction in progress consisted primarily of costs capitalized, including interest, for the construction of Wynn Palace and Wynn Boston Harbor. On August 22, 2016, the Company opened Wynn Palace. Accordingly, amounts relating to Wynn Palace were transferred to the appropriate property and equipment categories.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Water rights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1,387</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Macau Gaming Concession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15,485</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87,700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87,700</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105,801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103,185</w:t>
            </w:r>
          </w:p>
        </w:tc>
      </w:tr>
      <w:tr>
        <w:trPr>
          <w:trHeight w:val="25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113,588</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110,972</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Water rights and trademarks are indefinite-lived assets and, accordingly, are not amortized. Water rights reflect the fair value allocation determined in the purchase of the property on which Wynn Las Vegas is located in April 2000. The value of the trademarks primarily represents the costs to acquire the "Le Rêve" name.</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Macau gaming concession is a finite-lived intangible asset that is being amortized over the 20-year life of the concession. The Company expects that amortization of the Macau gaming concession will be $2.4 million each year from 2017 through 2021, and $1.2 million in 2022.</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November 2014, the Company was awarded a license to operate a casino in Massachusetts. The consideration paid to the State of Massachusetts for the license fee and certain costs incurred in connection with and contractually related to obtaining the license will be considered a finite-lived intangible asset. These amounts will be amortized over a period of 15 years beginning upon the opening of the resort.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Macau Credit Facilities: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(as amended September 2015), due September 2021; interest at LIBOR or HIBOR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1.50%—2.25% (2.76% and 2.08% as of December 31, 2016 and 2015, respectively), net of debt issuance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and original issue discount of $28,091 and $35,112 as of December 31, 2016 and 2015, respectively.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2,278,682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2,272,200</w:t>
            </w:r>
          </w:p>
        </w:tc>
      </w:tr>
      <w:tr>
        <w:trPr>
          <w:trHeight w:val="225"/>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Revolving Credit Facility (as amended September 2015), due September 2020; interest at LIBOR or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HIBOR plus 1.50%—2.25% (2.75% and 2.07% as of December 31, 2016 and 2015, respectively)</w:t>
            </w:r>
          </w:p>
        </w:tc>
        <w:tc>
          <w:tcPr>
            <w:tcW w:w="34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340,846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431,172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 1/4% Senior Notes, due October 15, 2021, net of debt issuance costs and original issue premium of $6,709 and</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$7,896 as of December 31, 2016 and 2015,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1,343,291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1,342,104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WML Finance Revolving Credit Facility, due July 2018; interest at 1.50%</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189,651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America Credit Facilities: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Term Loan Facility, due November 2020; interest at base rate plus 0.75% or LIBOR plus 1.75% (2.52%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1.99% as of December 31, 2016 and 2015, respectively), net of debt issuance costs of $15,436 and $15,712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1"/>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December 31, 2016 and 2015,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984,564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54,288</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 3/8% First Mortgage Notes, due March 15, 2022, net of debt issuance costs of $6,709 and $7,791 as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2016 and 2015, respectively</w:t>
            </w:r>
          </w:p>
        </w:tc>
        <w:tc>
          <w:tcPr>
            <w:tcW w:w="34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893,291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892,209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4 1/4% Senior Notes, due May 30, 2023, net of debt issuance costs of $2,819 and $3,183 as of December 31, 2016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and 2015,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497,181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496,817</w:t>
            </w: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 1/2% Senior Notes, due March 1, 2025, net of debt issuance costs of $21,513 and $23,527 as of December 31,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 and 2015, respectively</w:t>
            </w:r>
          </w:p>
        </w:tc>
        <w:tc>
          <w:tcPr>
            <w:tcW w:w="34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1,778,487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1,776,473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6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 net of fair value adjustment of $117,085 and $52,041 as of December 31, 2016 and 2015, respectively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1,819,359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1,884,402</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10,125,352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9,149,665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10,125,352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9,149,665</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Related Debt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22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Resorts (Macau) S.A. ("Wynn Macau SA"), an indirect subsidiary of WML. As of December 31, 2016, the Company had $409.2 million of available borrowing capacity under the Wynn Macau Senior Revolving Credit Facility. Wynn Macau SA has the ability to upsize the Wynn Macau Credit Facilities by an additional $1 billion in equivalent senior secured loans upon satisfaction of various conditions.</w:t>
      </w:r>
    </w:p>
    <w:p>
      <w:pPr>
        <w:spacing w:after="0" w:line="147" w:lineRule="exact"/>
        <w:rPr>
          <w:sz w:val="20"/>
          <w:szCs w:val="20"/>
          <w:color w:val="auto"/>
        </w:rPr>
      </w:pPr>
    </w:p>
    <w:p>
      <w:pPr>
        <w:jc w:val="both"/>
        <w:ind w:right="380" w:firstLine="405"/>
        <w:spacing w:after="0" w:line="313" w:lineRule="auto"/>
        <w:rPr>
          <w:sz w:val="20"/>
          <w:szCs w:val="20"/>
          <w:color w:val="auto"/>
        </w:rPr>
      </w:pPr>
      <w:r>
        <w:rPr>
          <w:rFonts w:ascii="Times New Roman" w:cs="Times New Roman" w:eastAsia="Times New Roman" w:hAnsi="Times New Roman"/>
          <w:sz w:val="17"/>
          <w:szCs w:val="17"/>
          <w:color w:val="auto"/>
        </w:rPr>
        <w:t>Borrowings under the Wynn Macau Credit Facilities consist of both United States dollar and Hong Kong dollar tranches and were used to refinance Wynn Macau SA's existing indebtedness and fund the construction and development of Wynn Palace and will be used for general corporate purposes.</w:t>
      </w:r>
    </w:p>
    <w:p>
      <w:pPr>
        <w:spacing w:after="0" w:line="98"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On September 30, 2015, the Wynn Macau Credit Facilities were amended, to, among other things, increase borrowing capacity and extend maturity dates. Upon closing the amendment, the Company received proceeds of $2.27 billion, net of deferred financing costs, from the Wynn Macau Senior Term Loan Facility. The proceeds were used to repay $953.3 million in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outstanding borrowing under the senior secured term loan facility dated July 30, 2012, and $815.8 million in outstanding borrowings under the senior secured revolving credit facility dated July 30, 2012. In connection with the amendment, the Company expensed $2.1 million of unamortized deferred financing costs that are included in loss on extinguishment of debt in the accompanying Consolidated Statements of Income.</w:t>
      </w:r>
    </w:p>
    <w:p>
      <w:pPr>
        <w:spacing w:after="0" w:line="136" w:lineRule="exact"/>
        <w:rPr>
          <w:sz w:val="20"/>
          <w:szCs w:val="20"/>
          <w:color w:val="auto"/>
        </w:rPr>
      </w:pPr>
    </w:p>
    <w:p>
      <w:pPr>
        <w:ind w:right="60" w:firstLine="405"/>
        <w:spacing w:after="0" w:line="269" w:lineRule="auto"/>
        <w:rPr>
          <w:sz w:val="20"/>
          <w:szCs w:val="20"/>
          <w:color w:val="auto"/>
        </w:rPr>
      </w:pPr>
      <w:r>
        <w:rPr>
          <w:rFonts w:ascii="Times New Roman" w:cs="Times New Roman" w:eastAsia="Times New Roman" w:hAnsi="Times New Roman"/>
          <w:sz w:val="17"/>
          <w:szCs w:val="17"/>
          <w:color w:val="auto"/>
        </w:rPr>
        <w:t>The Wynn Macau Senior Term Loan Facility is repayable in graduating installments of between 2.50% to 7.33% of the principal amount on a quarterly basis commencing December 2018, with a final installment of 50% of the principal amount repayable in September 2021. The Wynn Macau Senior Revolving Credit Facility will mature in September 2020, at which time any outstanding borrowings must be repaid. The Wynn Macau Credit Facilities bear interest at LIBOR or HIBOR plus a margin of 1.50% to 2.25% per annum based on Wynn Macau SA's Leverage Ratio (as defined in the Wynn Macau Credit Facilities). The commitment fee required to be paid for unborrowed amounts under the Wynn Macau Senior Revolving Credit Facility, if any, is between</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0.52% and 0.79%, per annum, based on Wynn Macau SA's Leverage Ratio. The annual commitment fee is payable quarterly in arrears and is calculated based on the daily average of the unborrowed amounts.</w:t>
      </w:r>
    </w:p>
    <w:p>
      <w:pPr>
        <w:spacing w:after="0" w:line="13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 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5.5 to 1 for the fiscal year ending December 31, 2016, and an Interest Coverage Ratio (as defined in the Wynn Macau Credit Facilities) of not less than 2.00 to 1 at any time.</w:t>
      </w:r>
    </w:p>
    <w:p>
      <w:pPr>
        <w:spacing w:after="0" w:line="145"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7"/>
          <w:szCs w:val="17"/>
          <w:color w:val="auto"/>
        </w:rPr>
        <w:t>Borrowings under the Wynn Macau Credit Facilities are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Wynn Macau Credit Facilities are not guaranteed by the Company or WML.</w:t>
      </w:r>
    </w:p>
    <w:p>
      <w:pPr>
        <w:spacing w:after="0" w:line="11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gaming concession contract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2016, the guarantee was in the amount of 300 million Macau patacas ("MOP") (approximately $37.6 million) and will remain at such amount until 180 days after the end of the term of the concession agreement in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1/4% Senior Notes due 2021</w:t>
      </w:r>
    </w:p>
    <w:p>
      <w:pPr>
        <w:spacing w:after="0" w:line="22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On March 20, 2014, WML issued $750 million aggregate principal amount of 5 1/4% Senior Notes due 2021 (the "Additional 2021 Notes"), which were consolidated and form a single series with the $600 million aggregate principal amount of 5 1/4% Senior Notes due 2021 issued by WML on October 16, 2013 (the "Original 2021 Notes" and together with the "Additional 2021 Notes," the "2021 Notes"). The aggregate principal amount of the 2021 Notes is $1.35 billion.</w:t>
      </w:r>
    </w:p>
    <w:p>
      <w:pPr>
        <w:spacing w:after="0" w:line="180"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Upon issuance of the Additional 2021 Notes in March 2014, WML received net proceeds of $748.8 million after adding the original issue premium and deducting commissions and expenses of the offering.</w:t>
      </w:r>
    </w:p>
    <w:p>
      <w:pPr>
        <w:spacing w:after="0" w:line="16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2021 Notes bear interest at the rate of 5 1/4% per annum and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indenture for the 2021 Notes, dated as of October 16, 2013 (the "WML Indenture"). In either case, the redemption price would include accrued and unpaid interest. In addition, on or after</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118" w:right="25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88"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SA's existing credit facilities. The 2021 Notes are not registered under the Securities Act of 1933, as amended (the "Securities Act"), and the 2021 Notes are subject to restrictions on transferability and resale.</w:t>
      </w:r>
    </w:p>
    <w:p>
      <w:pPr>
        <w:spacing w:after="0" w:line="18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WML Finance Revolving Credit Facility</w:t>
      </w:r>
    </w:p>
    <w:p>
      <w:pPr>
        <w:spacing w:after="0" w:line="18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July 18, 2016, the Company entered into a HK$1.55 billion (approximately $199.7 million) cash-collateralized revolving credit facility ("WML Finance Credit Facility") under which WML Finance I, Limited, an indirect subsidiary of WML, is the borrower. Borrowings under the WML Finance Credit Facility are in Hong Kong dollars and are used for working capital requirements and general corporate purposes. As of December 31, 2016, the Company had $309.4 million of available borrowing capacity under the WML Finance Credit Facility.</w:t>
      </w:r>
    </w:p>
    <w:p>
      <w:pPr>
        <w:spacing w:after="0" w:line="140"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WML Finance Credit Facility matures in July 2018, at which time any outstanding borrowings must be repaid. The WML Finance Credit Facility bears interest initially at 1.50% per annum, such rate calculated as the interest rate paid by the lender as the deposit bank for the cash collateral deposited and pledged with the lender plus a margin of 0.40%. Under terms of the agreement, mandatory repayment is required upon a Change in Control or Material Adverse Effect, as defined in the agreement.</w:t>
      </w:r>
    </w:p>
    <w:p>
      <w:pPr>
        <w:spacing w:after="0" w:line="14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October 25, 2016, the Company amended the WML Finance Credit Facility to increase the principal amount up to HK$3.87 billion (approximately $499.0 million). The terms of borrowing for the increased principal amount under the amendment are equivalent to the terms of the original credit agreement, including the requirement for cash collateral to be deposited and pledged with the lender, and interest borne at the same rate as described above.</w:t>
      </w:r>
    </w:p>
    <w:p>
      <w:pPr>
        <w:spacing w:after="0" w:line="136" w:lineRule="exact"/>
        <w:rPr>
          <w:sz w:val="20"/>
          <w:szCs w:val="20"/>
          <w:color w:val="auto"/>
        </w:rPr>
      </w:pPr>
    </w:p>
    <w:p>
      <w:pPr>
        <w:ind w:right="880" w:firstLine="405"/>
        <w:spacing w:after="0" w:line="476" w:lineRule="auto"/>
        <w:rPr>
          <w:sz w:val="20"/>
          <w:szCs w:val="20"/>
          <w:color w:val="auto"/>
        </w:rPr>
      </w:pPr>
      <w:r>
        <w:rPr>
          <w:rFonts w:ascii="Times New Roman" w:cs="Times New Roman" w:eastAsia="Times New Roman" w:hAnsi="Times New Roman"/>
          <w:sz w:val="18"/>
          <w:szCs w:val="18"/>
          <w:color w:val="auto"/>
        </w:rPr>
        <w:t xml:space="preserve">Subsequent to December 31, 2016, the Company repaid the $189.7 million outstanding borrowings under the WML Finance Credit Facility. </w:t>
      </w:r>
      <w:r>
        <w:rPr>
          <w:rFonts w:ascii="Times New Roman" w:cs="Times New Roman" w:eastAsia="Times New Roman" w:hAnsi="Times New Roman"/>
          <w:sz w:val="18"/>
          <w:szCs w:val="18"/>
          <w:b w:val="1"/>
          <w:bCs w:val="1"/>
          <w:color w:val="auto"/>
        </w:rPr>
        <w:t>U.S. and Corporate Related Debt</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Company's credit facilities include a fully funded $1.0 billion senior secured term loan facility and a $375 million secured revolving credit facility (the "Wynn America Credit Facilities"). The borrower is Wynn America, LLC ("Wynn America"), an indirect wholly owned subsidiary of Wynn Resorts, Limited. The Company expects to use the proceeds primarily to fund the development, construction and pre-opening expenses of Wynn Boston Harbor and for general corporate purposes.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80"/>
          </w:cols>
          <w:pgMar w:left="240" w:top="118" w:right="27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Company has executed amendments to extend the available borrowing periods. Most recently, on June 30, 2016, the Company amended the Wynn America Credit Facilities to extend the available borrowing period for the majority of the existing $875 million senior secured term loan facility (the "WA Senior Term Loan Facility I") from June 30, 2016 to December 31, 2016. In addition, on July 1, 2016, the Company amended the Wynn America Credit Facilities to increase the WA Senior Term Loan Facility I by a principal amount of $125 million with the available borrowing period ending on December 31, 2016 (such increase, the "WA Senior Term Loan Facility II" and together with WA Senior Term Loan Facility I, the "WA Senior Term Loan Facilities"). The Company paid customary fees and expenses in connection with these amendments.</w:t>
      </w:r>
    </w:p>
    <w:p>
      <w:pPr>
        <w:spacing w:after="0" w:line="18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available borrowing capacity of $361.3 million under the senior secured revolving credit facility ("WA Senior Revolving Credit Facility"), net of $13.7 million in outstanding letters of credit.</w:t>
      </w:r>
    </w:p>
    <w:p>
      <w:pPr>
        <w:spacing w:after="0" w:line="162"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WA Senior Revolving Credit Facility matures in November 2019. WA Senior Term Loan Facility I is repayable in quarterly installments of $21.9 million commencing June 2018, with a final installment of $656.3 million repayable in November 2020. WA Senior Term Loan Facility II has no required scheduled repayments until maturity in November 2020. Subject to certain exceptions, the Wynn America Credit Facilities bear interest at either base rate plus 0.75% per annum or LIBOR plus 1.75% per annum. The annual fee required to pay for unborrowed amounts, if any, is 0.30% per annum, payable quarterly in arrears, calculated based on the daily average of the unborrowed amounts under such credit facilities.</w:t>
      </w:r>
    </w:p>
    <w:p>
      <w:pPr>
        <w:spacing w:after="0" w:line="18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The Wynn America Credit Facilities contain customary representations and warranties, events of default and negative and affirmative covenants, including, among other things, limitations on: indebtedness; investments; restricted payments; mergers and acquisitions; payment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the opening of Wynn Boston Harbor occurs, the Maximum Consolidated Senior Secured Net Leverage Ratio is not to exceed 2.75 to 1. Commencing with the fiscal quarter ending December 31, 2015, the Minimum Consolidated EBITDA is not to be less than $200.0 million.</w:t>
      </w:r>
    </w:p>
    <w:p>
      <w:pPr>
        <w:spacing w:after="0" w:line="189"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 Company has provided a completion guaranty in favor of the lenders under the Wynn America Credit Facilities to support the development of Wynn Boston Harbor.</w:t>
      </w:r>
    </w:p>
    <w:p>
      <w:pPr>
        <w:spacing w:after="0" w:line="16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Wynn America and the guarantors have entered into a security agreement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3/8% First Mortgage Notes due 2022</w:t>
      </w:r>
    </w:p>
    <w:p>
      <w:pPr>
        <w:spacing w:after="0" w:line="227"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In March 2012, Wynn Las Vegas, LLC and Wynn Las Vegas Capital Corp. ("Capital Corp."), an indirect wholly owned subsidiary of Wynn Resorts (together, the "Issuers") issued, in a private offering, $900 million aggregate principal amount of 5 3/8% First Mortgage Notes due 2022 (the "2022 Notes"). A portion of the proceeds was used to repay all amounts outstanding under the Wynn Las Vegas, LLC term loan facilities. In October 2012, the Issuers commenced an offer to exchange all of the 2022 Notes for notes registered under the Securities Act. The exchange offer closed on November 6, 2012. Interest is due on the 2022 Notes on March 15 and September 15 of each year. Commencing March 15, 2017, the 2022 Notes are redeemable at the Issuers' option at a price equal to 102.688% of the principal amount redeemed and the premium over the principal amount declines ratably on March 15 of each year thereafter to zero on or after March 15, 2020. The 2022 Notes are senior obligations of the Issuers and are unsecured (except by the first priority pledge by Wynn Las Vegas Holdings, LLC ("WLVH"), a direct wholly owned subsidiary of Wynn America, of its equity interests in Wynn Las Vegas, LLC). The Issuers' obligations under the 2022 Notes rank pari passu in right of payment with the 2023 Notes and 2025 Notes (each as defined below). The 2022 Notes are not guaranteed by any of the Company's subsidiaries. If the Issuers undergo a change of control, they must offer to repurchase the 2022 Notes at 101% of the principal amount, plus accrued and unpaid interest. The indenture governing the 2022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118" w:right="25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4 1/4% Senior Notes due 2023</w:t>
      </w:r>
    </w:p>
    <w:p>
      <w:pPr>
        <w:spacing w:after="0" w:line="227" w:lineRule="exact"/>
        <w:rPr>
          <w:sz w:val="20"/>
          <w:szCs w:val="20"/>
          <w:color w:val="auto"/>
        </w:rPr>
      </w:pPr>
    </w:p>
    <w:p>
      <w:pPr>
        <w:ind w:right="380" w:firstLine="432"/>
        <w:spacing w:after="0" w:line="256" w:lineRule="auto"/>
        <w:rPr>
          <w:sz w:val="20"/>
          <w:szCs w:val="20"/>
          <w:color w:val="auto"/>
        </w:rPr>
      </w:pPr>
      <w:r>
        <w:rPr>
          <w:rFonts w:ascii="Times New Roman" w:cs="Times New Roman" w:eastAsia="Times New Roman" w:hAnsi="Times New Roman"/>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previously issued notes that were to mature in November 2017. In addition, the Issuers satisfied and discharged the indenture governing the 7 7/8% First Mortgage Notes due 2017 (the "2017 Notes") and, in November 2013, used the remaining net proceeds to redeem any and all of the 2017 Notes not previously tendered.</w:t>
      </w:r>
    </w:p>
    <w:p>
      <w:pPr>
        <w:spacing w:after="0" w:line="188"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2023 Notes will mature on May 30, 2023 and bear interest at the rate of 4 1/4% per annum. The Issuers may, at their option, redeem the 2023 Notes, in whole or in part, at any time or from time to time prior to their stated maturity. The redemption price for the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85"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2023 Notes are the Issuers' senior unsecured obligations and rank pari passu in right of payment with the Issuers' 2022 Notes and 2025 Notes (as defined below). The 2023 Notes are unsecured (except by the first priority pledge by WLVH of its equity interests in Wynn Las Vegas, LLC). Such equity interests in Wynn Las Vegas, LLC also secure the Issuers' 2022 Notes and 2025 Notes. If Wynn Resorts receives an investment grade rating from one or more ratings agencies, the first priority pledge securing the 2023 Notes will be released.</w:t>
      </w:r>
    </w:p>
    <w:p>
      <w:pPr>
        <w:spacing w:after="0" w:line="180"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The 2023 Notes are jointly and severally guaranteed by all of the Issuers' subsidiaries, other than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4"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76"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Events of default under the 2023 Indenture include, among others, the following: default for 30 days in the payment of interest when due on the 2023 Notes; default in payment of the principal when due,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1/2% Senior Notes due 2025</w:t>
      </w:r>
    </w:p>
    <w:p>
      <w:pPr>
        <w:spacing w:after="0" w:line="22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Guarantors and U.S. Bank National Association, as trustee. The 2025 Notes were issued at par. The Company used the net proceeds from the 2025 Notes to cover the cost of purchasing the 7 7/8% First Mortgage Notes due May 1, 2020 (the "7 7/8% 2020 Notes") and the 7 3/4% First Mortgage Notes due August 15, 2020 (the "7 3/4% 2020 Notes" and together with the 7 7/8% 2020 Notes, the "2020 Notes") and for general corporate purposes.</w:t>
      </w:r>
    </w:p>
    <w:p>
      <w:pPr>
        <w:spacing w:after="0" w:line="13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2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2025 Notes are the Issuers' senior unsecured obligations and rank pari passu in right of payment with the Issuers' 2022 Notes and 2023 Notes (together, the "Existing Notes"). The 2025 Notes are unsecured (except by the first priority pledge by WLVH of its equity interests in Wynn Las Vegas, LLC). Such equity interests in Wynn Las Vegas, LLC also secure the Existing Notes. If Wynn Resorts receives an investment grade rating from one or more ratings agencies, the first priority pledge securing the 2025 Notes will be released.</w:t>
      </w:r>
    </w:p>
    <w:p>
      <w:pPr>
        <w:spacing w:after="0" w:line="12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2025 Notes are jointly and severally guaranteed by all of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26"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2" w:lineRule="exact"/>
        <w:rPr>
          <w:sz w:val="20"/>
          <w:szCs w:val="20"/>
          <w:color w:val="auto"/>
        </w:rPr>
      </w:pPr>
    </w:p>
    <w:p>
      <w:pPr>
        <w:jc w:val="both"/>
        <w:ind w:right="180" w:firstLine="432"/>
        <w:spacing w:after="0" w:line="261" w:lineRule="auto"/>
        <w:rPr>
          <w:sz w:val="20"/>
          <w:szCs w:val="20"/>
          <w:color w:val="auto"/>
        </w:rPr>
      </w:pPr>
      <w:r>
        <w:rPr>
          <w:rFonts w:ascii="Times New Roman" w:cs="Times New Roman" w:eastAsia="Times New Roman" w:hAnsi="Times New Roman"/>
          <w:sz w:val="18"/>
          <w:szCs w:val="18"/>
          <w:color w:val="auto"/>
        </w:rPr>
        <w:t>Events of default under the 2025 Indenture include, among others, the following: default for 30 days in the payment of interest when due on the 2025 Notes; default in payment of the principal when due, or premium, if any, on the 2025 Notes; failure to comply with certain covenants in the 2025 Indenture; and certain events of bankruptcy or insolvency. In the case of an event of default arising from certain events of bankruptcy or insolvency with respect to the Issuers or any Guarantor, all 2025 Notes then outstanding will become due and payable immediately without further action or notice.</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2023 Notes and 2025 Notes were offered pursuant to an exemption under the Securities Act. The 2023 Notes and 2025 Notes were offered only to qualified institutional buyers in reliance on Rule 144A under the Securities Act or outside the United States to certain persons in reliance on Regulation S under the Securities Act. The 2023 Notes and 2025 Notes have not been and will not be registered under the Securities Act or under any state securities laws. Therefore, the 2023 Notes and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First Mortgage Notes due 2020</w:t>
      </w:r>
    </w:p>
    <w:p>
      <w:pPr>
        <w:spacing w:after="0" w:line="187"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8"/>
          <w:szCs w:val="18"/>
          <w:color w:val="auto"/>
        </w:rPr>
        <w:t>On February 10, 2015, the Issuers commenced a cash tender offer for any and all of the outstanding aggregate principal amounts of the 2020 Notes. The premium portion of the aggregate total consideration was $98.9 million and was recorded as a loss on extinguishment of debt in the accompanying Consolidated Statements of Income. In connection with the cash tender, the Company expensed $17.2 million of unamortized deferred financing costs and original issue discount related to the 2020 Notes and incurred other fees of $0.1 million that are included in loss on extinguishment of debt in the accompanying Consolidated Statements of Income.</w:t>
      </w:r>
    </w:p>
    <w:p>
      <w:pPr>
        <w:spacing w:after="0" w:line="18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Consolidated Statements of Income.</w:t>
      </w:r>
    </w:p>
    <w:p>
      <w:pPr>
        <w:spacing w:after="0" w:line="176" w:lineRule="exact"/>
        <w:rPr>
          <w:sz w:val="20"/>
          <w:szCs w:val="20"/>
          <w:color w:val="auto"/>
        </w:rPr>
      </w:pPr>
    </w:p>
    <w:p>
      <w:pPr>
        <w:jc w:val="both"/>
        <w:ind w:right="500" w:firstLine="392"/>
        <w:spacing w:after="0" w:line="266" w:lineRule="auto"/>
        <w:rPr>
          <w:sz w:val="20"/>
          <w:szCs w:val="20"/>
          <w:color w:val="auto"/>
        </w:rPr>
      </w:pPr>
      <w:r>
        <w:rPr>
          <w:rFonts w:ascii="Times New Roman" w:cs="Times New Roman" w:eastAsia="Times New Roman" w:hAnsi="Times New Roman"/>
          <w:sz w:val="18"/>
          <w:szCs w:val="18"/>
          <w:color w:val="auto"/>
        </w:rPr>
        <w:t>On August 15, 2015, the Company redeemed the remaining $80.1 million principal amount of the untendered 7 3/4% 2020 Notes. The Company recorded a loss for the premium portion of the consideration of $3.1 million and expensed $0.8 million of unamortized deferred financing costs that are included in loss on extinguishment of debt in the accompanying Consolidated Statements of Income.</w:t>
      </w:r>
    </w:p>
    <w:p>
      <w:pPr>
        <w:spacing w:after="0" w:line="176"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Wynn Las Vegas, LLC repurchased and canceled $98.4 million in principal, plus interest, of the 2020 Notes through the open market. The Company incurred $9.6 million in expenses associated primarily with the premium paid for the repurchases and unamortized deferred financing costs included in loss on extinguishment of debt in the accompanying Consolidated Statements of Income.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118" w:right="25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right="200" w:firstLine="405"/>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then-current trading price was appropriate because of, among other things, restrictions on most of the shares held by Aruze under the terms of the Stockholders Agreement (as defined below). Pursuant to its articles of incorporation, the Company issued the Redemption Note to Aruze,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9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the Redemption Note at fair value in accordance with applicable accounting guidance. As of December 31, 2016 and 2015, the fair value of the Redemption Note was $1.82 billion and $1.88 billion, respectively.</w:t>
      </w:r>
    </w:p>
    <w:p>
      <w:pPr>
        <w:spacing w:after="0" w:line="162"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Okada Parties have challenged the redemption of Aruze's shares and the Company is currently involved in litigation with those parties as well as related litigation. See further discussion in Note 17 "Commitments and Contingencies."</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February 12, 2016, and February 13, 2017, the Company issued a check for the interest payment due at those times to the clerk of the court for deposit into the clerk's trust account.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Cross Claim</w:t>
      </w:r>
    </w:p>
    <w:p>
      <w:pPr>
        <w:spacing w:after="0" w:line="227"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As further discussed in Note 17 "Commitments and Contingencies," 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On May 5, 2016, the court granted Wynn Resorts' and Wynn Resorts' General Counsel's motions to dismiss.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w:t>
      </w:r>
    </w:p>
    <w:p>
      <w:pPr>
        <w:spacing w:after="0" w:line="3" w:lineRule="exact"/>
        <w:rPr>
          <w:sz w:val="20"/>
          <w:szCs w:val="20"/>
          <w:color w:val="auto"/>
        </w:rPr>
      </w:pPr>
    </w:p>
    <w:p>
      <w:pPr>
        <w:ind w:right="420" w:firstLine="8"/>
        <w:spacing w:after="0" w:line="254"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continuing to oppose Elaine Wynn's cross claim.</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118" w:right="27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2016, management believes the Company was in compliance with all debt covenants.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fair value of the Company's long-term debt, excluding the Redemption Note, as of December 31, 2016 and 2015, was approximately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$7.35 billion and $6.86 billion, respectively, compared to its carrying value, excluding debt issuance costs and original issue discount and premium, of $8.39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and $7.36 billion, respectively. The estimated fair value of the Company's long-term debt, excluding the Redemption Note, is based on recent trades,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and indicative pricing from market information (Level 2 inputs). See Note 2 "Summary of Significant Accounting Policies" for discussion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fair value of the Redemption Note.</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Scheduled maturities of long-term debt as of December 31, 2016 are as follows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0"/>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312,945</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364,313</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1,668,300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2,841,713</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5,136,443</w:t>
            </w:r>
          </w:p>
        </w:tc>
      </w:tr>
      <w:tr>
        <w:trPr>
          <w:trHeight w:val="237"/>
        </w:trPr>
        <w:tc>
          <w:tcPr>
            <w:tcW w:w="99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10,323,714</w:t>
            </w:r>
          </w:p>
        </w:tc>
      </w:tr>
      <w:tr>
        <w:trPr>
          <w:trHeight w:val="27"/>
        </w:trPr>
        <w:tc>
          <w:tcPr>
            <w:tcW w:w="9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(117,085)</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costs, premiums and discounts,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(81,277)</w:t>
            </w:r>
          </w:p>
        </w:tc>
      </w:tr>
      <w:tr>
        <w:trPr>
          <w:trHeight w:val="27"/>
        </w:trPr>
        <w:tc>
          <w:tcPr>
            <w:tcW w:w="9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10,125,352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 change in interest rate swap fair value in the accompanying Consolidated Statements of Income, as the interest rate swaps do not qualify for hedge accounting.</w:t>
      </w:r>
    </w:p>
    <w:p>
      <w:pPr>
        <w:spacing w:after="0" w:line="18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Company utilized Level 2 inputs as described in Note 2 "Summary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w:t>
      </w:r>
    </w:p>
    <w:p>
      <w:pPr>
        <w:spacing w:after="0" w:line="188"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 currently has three interest rate swap agreements intended to hedge a portion of the underlying interest rate risk on borrowings under the Wynn Macau Credit Facilities. Under two of the swap agreements, the Company pays a fixed interest rate (excluding the applicable interest margin) of 0.73% on notional amounts corresponding to borrowings of HK$3.95 billion (approximately $509.4 million) incurred under the Wynn Macau Credit Facilities in exchange for receipts on the same amount at a variable interest rate based on the applicable HIBOR at the time of payment. These interest rate swaps fix the all-in interest rate on such amounts at 2.23% to 2.98%. These interest rate swap agreements mature in July 2017.</w:t>
      </w:r>
    </w:p>
    <w:p>
      <w:pPr>
        <w:spacing w:after="0" w:line="184"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Under the third swap agreement, the Company pays a fixed interest rate (excluding the applicable interest margin) of 0.68% on notional amounts corresponding to borrowings of $243.8 million incurred under the Wynn Macau Credit Facilities in exchange for receipts on the same amount at a variable rate based on the applicable LIBOR at the time of payment. This interest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swap fixes the all-in interest rate on such amounts at 2.18% to 2.93%. This interest rate swap agreement matures in July 2017.</w:t>
      </w:r>
    </w:p>
    <w:p>
      <w:pPr>
        <w:spacing w:after="0" w:line="22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interest rate swaps of $1.1 million were included in prepaid expenses and other in the accompanying Consolidated Balance Sheets. As of December 31, 2015, interest rate swaps of $0.7 million were included in other assets and $0.1 million were included in other long-term liabilities in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Share Redemption</w:t>
      </w:r>
    </w:p>
    <w:p>
      <w:pPr>
        <w:spacing w:after="0" w:line="227"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then-current trading price was appropriate because of, among other things, restrictions on most of the shares which were subject to the terms of an existing stockholder agreement. Pursuant to its articles of incorporation, the Company issued the Redemption Note to Aruze, a former stockholder and related party, in redemption of the shares. The Okada Parties have challenged the redemption of Aruze's shares and the Company is currently involved in litigation with those parties as well as related shareholder derivative litigation.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227"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December 31, 2016 and 2015, Mr. Wynn and the other officers and directors had a net deposit balance with the Company of $0.3 million and $1.0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Villa Lease</w:t>
      </w:r>
    </w:p>
    <w:p>
      <w:pPr>
        <w:spacing w:after="0" w:line="22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Mr. Wynn currently leases property at Wynn Las Vegas for use as his personal residence and pays Wynn Las Vegas, LLC annual rent at its fair market value of the accommodations based on independent third-party expert opinions of value. Pursuant to the 2013 Second Amended and Restated Agreement of Lease, as amended (the “Second A&amp;R Lease”), Mr. Wynn leased three fairway villas as his personal residence and paid $525,000 per year from November 5, 2013 through February 28, 2015, and $559,295 per year from March 1, 2015 through November 3, 2016. In December 2016, Mr. Wynn and Wynn Las Vegas, LLC replaced the Second A&amp;R Lease with a Third Amended and Restated Agreement of Lease, which was effective November 3, 2016 (the “Third A&amp;R Lease”), to reduce the space leased to Mr. Wynn as his personal residence and to adjust the annual rent paid to $305,680 per year. The lease, including each amendment and restatement, have been approved by the Audit Committee of the Board of Directors of Wynn Resorts and provides that Wynn Las Vegas, LLC pays for all capital improvements to the villas; certain services for, and maintenance of, the villas are included in the annual rent; and the annual rent will be re-determined every two years during the term of the 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Purchase</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 May 2010, the Company entered into an employment agreement with Linda Chen, who is the Chief Operating Officer of Wynn Macau. The term of the employment agreement is through February 24, 2020. Under the terms of the employment agreement, the Company purchased a home in Macau for use by Ms. Chen and has made renovations to the home with total costs of $9.4 million through December 31, 2016.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8" w:right="23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termination of Ms. Chen's employment without "cause" or termination of Ms. Chen's employment for "good reason" following a "change of control" or (c) at a price based on the applicable Discount Percentage in the event Ms. Chen terminates the agreement due to material breach by the Company. Upon</w:t>
      </w:r>
    </w:p>
    <w:p>
      <w:pPr>
        <w:ind w:right="440"/>
        <w:spacing w:after="0" w:line="255" w:lineRule="auto"/>
        <w:rPr>
          <w:sz w:val="20"/>
          <w:szCs w:val="20"/>
          <w:color w:val="auto"/>
        </w:rPr>
      </w:pPr>
      <w:r>
        <w:rPr>
          <w:rFonts w:ascii="Times New Roman" w:cs="Times New Roman" w:eastAsia="Times New Roman" w:hAnsi="Times New Roman"/>
          <w:sz w:val="18"/>
          <w:szCs w:val="18"/>
          <w:color w:val="auto"/>
        </w:rPr>
        <w:t>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Plane Option Agreement</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22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surname and Mr. Wynn's persona in connection with its casino resorts. Under the parties' Surname Rights Agreement, Mr. Wynn granted the Company an exclusive, fully paid-up, perpetual, worldwide license to use, and to own and register trademarks and service marks incorporating the "Wynn" surname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From March 1, 2015 to September 30, 2015, Wynn Resorts Development, LLC, a direct subsidiary of the Company ("WRD"), was party to a consulting agreement with a consulting firm of which Clark T. Randt, Jr., current member of the Company's Board of Directors, is the president and sole owner, pursuant to which Ambassador Randt provided advice to WRD. The consulting agreement was terminated in connection with Ambassador Randt joining the Company's Board of Directors. WRD paid the consulting firm $0.6 million in fees and reimbursed expenses under the consulting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up to 400,000,000 shares of its common stock, $0.01 par value per share (the "Common Stock"). As of December 31, 2016 and 2015, 101,799,471 shares and 101,571,909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85"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Board of Directors of Wynn Resorts has authorized an equity repurchase program of up to $1.7 billion. The repurchase program may include repurchases from time to time through open market purchases or negotiated transactions, depending upon market conditions. As of December 31, 2016, the Company had repurchased a cumulative total of 12,804,954 shares of the Company's Common Stock for a net cost of $1.1 billion under the program. Under the repurchase program, there were no repurchases made during the years ended December 31, 2016, 2015 and 2014.</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118" w:right="25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During 2016, 2015 and 2014, the Company withheld a total of 198,942 shares, 50,869 shares and 9,578 shares, respectively, in satisfaction of tax withholding obligations on vested restricted stock.</w:t>
      </w:r>
    </w:p>
    <w:p>
      <w:pPr>
        <w:spacing w:after="0" w:line="162"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In February 2016, May 2016, August 2016, and November 2016, the Company paid a cash dividend of $0.50 per share. During the year ended December 31, 2016, the Company recorded $202.2 million as a reduction of retained earnings from cash dividends declared.</w:t>
      </w:r>
    </w:p>
    <w:p>
      <w:pPr>
        <w:spacing w:after="0" w:line="162" w:lineRule="exact"/>
        <w:rPr>
          <w:sz w:val="20"/>
          <w:szCs w:val="20"/>
          <w:color w:val="auto"/>
        </w:rPr>
      </w:pPr>
    </w:p>
    <w:p>
      <w:pPr>
        <w:jc w:val="both"/>
        <w:ind w:left="60" w:right="60" w:firstLine="405"/>
        <w:spacing w:after="0" w:line="266" w:lineRule="auto"/>
        <w:rPr>
          <w:sz w:val="20"/>
          <w:szCs w:val="20"/>
          <w:color w:val="auto"/>
        </w:rPr>
      </w:pPr>
      <w:r>
        <w:rPr>
          <w:rFonts w:ascii="Times New Roman" w:cs="Times New Roman" w:eastAsia="Times New Roman" w:hAnsi="Times New Roman"/>
          <w:sz w:val="18"/>
          <w:szCs w:val="18"/>
          <w:color w:val="auto"/>
        </w:rPr>
        <w:t>In February 2015, the Company paid a cash dividend of $1.50 per share. In each of May 2015, August 2015, and November 2015, the Company paid a cash dividend of $0.50 per share. During the year ended December 31, 2015, the Company recorded $304.4 million as a reduction of retained earnings from cash dividends declared.</w:t>
      </w:r>
    </w:p>
    <w:p>
      <w:pPr>
        <w:spacing w:after="0" w:line="176"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 February 2014, May 2014 and August 2014, the Company paid a cash dividend of $1.25 per common share. In November 2014, the Company paid a cash dividend of $1.50 per common share and an additional cash dividend of $1.00 per share. During the year ended December 31, 2014, the Company recorded $633.2 million as a reduction of retained earnings from cash dividends declared.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undesignated preferred stock, $0.01 par value per share (the "Preferred Stock"). As of December 31, 2016,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Securities</w:t>
      </w:r>
    </w:p>
    <w:p>
      <w:pPr>
        <w:spacing w:after="0" w:line="22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193"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For more information, refer to Note 17 "Commitments and Contingencies."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00"/>
          </w:cols>
          <w:pgMar w:left="240" w:top="118" w:right="25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Noncontrolling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In October 2009, WML, an indirect wholly owned subsidiary of the Company and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180"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On April 27, 2016, WML paid a dividend of HK$0.60 per share for a total of $401.9 million. The Company's share of this dividend was $290.1 million with a reduction of $111.8 million to noncontrolling interests in the accompanying Consolidated Balance Sheets.</w:t>
      </w:r>
    </w:p>
    <w:p>
      <w:pPr>
        <w:spacing w:after="0" w:line="162"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On March 31, 2015, WML paid a dividend of HK$1.05 per share for a total of $702.6 million. The Company's share of this dividend was $507.1 million with a reduction of $195.5 million to noncontrolling interests in the accompanying Consolidated Balance Sheets.</w:t>
      </w:r>
    </w:p>
    <w:p>
      <w:pPr>
        <w:spacing w:after="0" w:line="162"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On September 23, 2014, WML paid a dividend of HK$0.70 per share for a total of $469.2 million. The Company's share of this dividend was $338.7 million with a reduction of $130.6 million to noncontrolling interests in the accompanying Consolidated Balance Sheets.</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On June 6, 2014, WML paid a dividend of HK$0.98 per share for a total of $655.8 million. The Company's share of this dividend was $474.0 million with a reduction of $181.8 million to noncontrolling interests in the accompanying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December 28, 2016, the Company sold a 49.9% interest in the Retail Joint Venture to Crown for consideration of $292.0 million. For more information on the transaction, see Note 3, “Retail Joint Venture.” In connection with this transaction, the Company recorded $15.9 million of noncontrolling interest in the accompanying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with a one-time annual matching cap per employee of $1,200 and $750 for the years ended December 31, 2015 and 2014, respectively. There was no matching cap for the year ended December 31, 2016. During the years ended December 31, 2016, 2015 and 2014, the Company recorded matching contribution expenses of $6.1 million, $3.2 million and $2.0 million respectively.</w:t>
      </w:r>
    </w:p>
    <w:p>
      <w:pPr>
        <w:spacing w:after="0" w:line="18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 years. Forfeitures of unvested contributions are used to reduce the Company's liability for its contributions payable. During the years ended December 31, 2016, 2015 and 2014, the Company recorded matching contribution expenses of $12.9 million, $11.2 million and $8.7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w:t>
      </w:r>
    </w:p>
    <w:p>
      <w:pPr>
        <w:spacing w:after="0" w:line="227"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Wynn Las Vegas, LLC contributes to a multi-employer defined benefit pension plan for certain of its union employees under the terms of the Southern Nevada Culinary and Bartenders Union collective-bargaining agreement. The collective-bargaining agreement that covers these union-represented employees was set to expire in July 2015. An extension was in place until February 2017 when the Company entered into a new collective bargaining agreement, which expires July 2021.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legal name of the multi-employer pension plan is the Southern Nevada Culinary and Bartenders Pension Plan (the "Plan") (EIN: 88-6016617 Plan Number: 1). The Company recorded an expense of $9.3 million, $9.4 million and $9.2 million for contributions to the Plan for the years ended December 31, 2016, 2015 and 2014, respectively. For the 2015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2015 plan year. 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Resorts, Limited</w:t>
      </w:r>
    </w:p>
    <w:p>
      <w:pPr>
        <w:spacing w:after="0" w:line="22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Company's 2002 Stock Incentive Plan, as amended and restated (the "WRL 2002 Plan"), allowed it to grant stock options and nonvested shares of Wynn Resorts' common stock to eligible directors, officers, employees, and consultants of the Company. Under the WRL 2002 Plan, a maximum of 12,750,000 shares of the Company's common stock was reserved for issuance.</w:t>
      </w:r>
    </w:p>
    <w:p>
      <w:pPr>
        <w:spacing w:after="0" w:line="17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May 16, 2014, the Company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WRL 2002 Plan. Under the approval of the Omnibus Plan, no new awards may be made under the WRL 2002 Plan. The outstanding awards under the WRL 2002 Plan were transferred to the Omnibus Plan and will remain pursuant to their existing terms and related award agreements. The Company reserved 4,409,390 shares of its common stock for issuance under the Omnibus Plan. These shares were transferred from the remaining available amount under the WRL 2002 Plan.</w:t>
      </w:r>
    </w:p>
    <w:p>
      <w:pPr>
        <w:spacing w:after="0" w:line="188"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The Omnibus Plan is administered by the Compensation Committee (the "Committee") of the Wynn Resorts, Limited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180"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an aggregate of 3,872,121 shares of its common stock available for grant as share-based awards under the Omnibus Plan.</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summary of stock option activity under the plans for the year ended December 31, 2016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January 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1,370,260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81.49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1,306,260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83.56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23,139,020</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Fully vested and expected to vest as of December 31, 2016</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1,304,109</w:t>
            </w:r>
          </w:p>
        </w:tc>
        <w:tc>
          <w:tcPr>
            <w:tcW w:w="4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ind w:right="37"/>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23,072,465</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 as of December 31,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1,007,758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13,094,570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provided for stock options from the plans (in thousands, except weighted average grant date fair value):</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30,485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11,086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a total of $6.9 million of unamortized compensation related to stock options, which is expected to be recognized over a weighted average period of 2.2 years.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Nonvested shares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summary of nonvested share activity under the plans for the year ended December 31, 2016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6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3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January 1, 2016</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354,206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412,504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63.56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124.32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as of December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151,756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112.14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provided for the share award vesting from the plans (in thousands, except weighted average grant date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145.92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209.92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39,380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22,877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9,430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a total of $12.2 million of unamortized compensation related to nonvested shares, which is expected to be recognized over a weighted average period of 3.8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27"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Option Plan</w:t>
      </w:r>
    </w:p>
    <w:p>
      <w:pPr>
        <w:spacing w:after="0" w:line="22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WML adopted a stock incentive plan, effective September 16, 2009, for the grant of stock options to purchase shares of WML to eligible directors and employees of its subsidiaries (the "Share Option Plan"). The Share Option Plan is administered by WML's Board of Directors, which has the discretion on the vesting and service requirements, exercise price, performance targets to exercise if applicable and other conditions, subject to certain limits. A maximum of 518,750,000 shares have been reserved for issuance under the Share Option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summary of stock option activity under the plan for the year ended December 31, 2016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as of January 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4,358,000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1,932,000</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1.49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3"/>
            <w:shd w:val="clear" w:color="auto" w:fill="CCEEFF"/>
          </w:tcPr>
          <w:p>
            <w:pPr>
              <w:jc w:val="right"/>
              <w:ind w:right="13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as of December 31, 2016</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6,290,000</w:t>
            </w:r>
          </w:p>
        </w:tc>
        <w:tc>
          <w:tcPr>
            <w:tcW w:w="1160" w:type="dxa"/>
            <w:vAlign w:val="bottom"/>
            <w:tcBorders>
              <w:bottom w:val="single" w:sz="8" w:color="CCEEFF"/>
            </w:tcBorders>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2.28</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Fully vested and expected to vest as of December 31, 2016</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6,290,000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as of December 31, 2016</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2,485,200</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2.60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provided for stock options from the Share Option Plan (in thousands, except weighted average grant date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there was a total of $1.4 million of unamortized compensation related to stock options, which is expected to be recognized over a weighted average period of 3.2 years.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Award Plan</w:t>
      </w:r>
    </w:p>
    <w:p>
      <w:pPr>
        <w:spacing w:after="0" w:line="227"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 June 30, 2014, the Company's majority-owned subsidiary, WML, approved and adopted the WML Employee Ownership Scheme (the "Share Award Plan"). The Share Award Plan allows for the grant of nonvested shares of WML's common stock to eligible employees. The Share Award Plan is administered by WML's Board of Directors and has been mandated under the plan to allot, issue and process the transfer of a maximum of 50,000,000 shares. The Board of Directors has discretion on the vesting and service requirements, exercise price and other conditions, subject to certain limits.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summary of nonvested share activity under the Share Award Plan for the year ended December 31, 2016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Nonvested as of January 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8,446,838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6,599,024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(1,036,728)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Nonvested as of December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14,009,134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was $1.38, $1.95 and $3.81 for nonvested shares awarded during the years ended December 31, 2016, 2015 and 2014, respectively. As of December 31, 2016, no shares have vested under the Share Award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Compensation Cost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is allocated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11,304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8,360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29,770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39,196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5,710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43,814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44,906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For the year ended December 31, 2016, the Company recorded $19.2 million of stock-based compensation expense associated with these awards. The Company settled this obligation by issuing immediately vested shares in January 2017.</w:t>
      </w:r>
    </w:p>
    <w:p>
      <w:pPr>
        <w:spacing w:after="0" w:line="143" w:lineRule="exact"/>
        <w:rPr>
          <w:sz w:val="20"/>
          <w:szCs w:val="20"/>
          <w:color w:val="auto"/>
        </w:rPr>
      </w:pPr>
    </w:p>
    <w:p>
      <w:pPr>
        <w:ind w:right="520"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7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recognized income tax benefits in the Consolidated Statements of Income of $10.4 million, $8.3 million and $9.6 million, respectively, related to stock-based compensation expense. Additionally, during the years ended December 31, 2016, 2015 and 2014, the Company realized tax benefits of $6.7 million, $6.7 million and $12.6 million, respectively, related to stock option exercises and restricted stock vests that occurred in those years.</w:t>
      </w:r>
    </w:p>
    <w:p>
      <w:pPr>
        <w:spacing w:after="0" w:line="140"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for stock options.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Wynn Resorts' plans and the Hong Kong Exchange Fund rates for stock options issued under the Share Option Plan, both at the time of grant for the period equal to the expected term. Expected term represents the weighted average time between the option's grant date and its exercise date. The Company used historical award exercise activity and termination activity in estimating the expected term for the Wynn Resorts plans and WML's Share Option Plan.</w:t>
      </w:r>
    </w:p>
    <w:p>
      <w:pPr>
        <w:spacing w:after="0" w:line="188"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under Wynn Resorts' stock-based compensation plans were estimated on the date of grant using the following weighted average assumptions:</w:t>
      </w:r>
    </w:p>
    <w:p>
      <w:pPr>
        <w:spacing w:after="0" w:line="16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702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5"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under WML's Share Option Plan was estimated on the date of grant using the following weighted average assumptions: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70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Consolidated income before taxes for domestic and foreign operations consisted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90,900</w:t>
            </w:r>
          </w:p>
        </w:tc>
        <w:tc>
          <w:tcPr>
            <w:tcW w:w="6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122,974</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835,888</w:t>
            </w: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310,597</w:t>
            </w:r>
          </w:p>
        </w:tc>
        <w:tc>
          <w:tcPr>
            <w:tcW w:w="6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958,862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1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w w:val="99"/>
              </w:rPr>
              <w:t>The income tax provision (benefit) attributable to income before income taxes is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0"/>
        </w:trPr>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2,260</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2,043</w:t>
            </w: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4,303</w:t>
            </w:r>
          </w:p>
        </w:tc>
      </w:tr>
      <w:tr>
        <w:trPr>
          <w:trHeight w:val="22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41"/>
        </w:trPr>
        <w:tc>
          <w:tcPr>
            <w:tcW w:w="6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4,094</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1,107</w:t>
            </w:r>
          </w:p>
        </w:tc>
      </w:tr>
      <w:tr>
        <w:trPr>
          <w:trHeight w:val="237"/>
        </w:trPr>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w:t>
            </w: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62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8760" w:type="dxa"/>
            <w:vAlign w:val="bottom"/>
            <w:gridSpan w:val="9"/>
          </w:tcPr>
          <w:p>
            <w:pPr>
              <w:ind w:left="440"/>
              <w:spacing w:after="0"/>
              <w:rPr>
                <w:sz w:val="20"/>
                <w:szCs w:val="20"/>
                <w:color w:val="auto"/>
              </w:rPr>
            </w:pPr>
            <w:r>
              <w:rPr>
                <w:rFonts w:ascii="Times New Roman" w:cs="Times New Roman" w:eastAsia="Times New Roman" w:hAnsi="Times New Roman"/>
                <w:sz w:val="18"/>
                <w:szCs w:val="18"/>
                <w:color w:val="auto"/>
              </w:rPr>
              <w:t>The income tax provision (benefit) differs from that computed at the federal statutory corporate tax rate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0"/>
        </w:trPr>
        <w:tc>
          <w:tcPr>
            <w:tcW w:w="6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rate</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tax credits, net of valuation allowance</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Repatriation of foreign earnings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88.0 %</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 other</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7"/>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On November 30, 2010, Wynn Macau SA received an exemption from Macau's 12% Complementary Tax on casino gaming profits, thereby exempting the casino gaming profits of Wynn Macau SA through December 31, 2015. In October 2015, Wynn Macau SA received an additional 5-year exemption, effective January 1, 2016, from Macau's Complementary Tax on casino gaming profits through December 31, 2020. Accordingly, for the years ended December 31, 2016, 2015 and 2014, the Company was exempted from the payment of $27.3 million, $41.6 million and $99.4 million in such taxes or $0.27, $0.41</w:t>
      </w:r>
    </w:p>
    <w:p>
      <w:pPr>
        <w:sectPr>
          <w:pgSz w:w="11900" w:h="16838" w:orient="portrait"/>
          <w:cols w:equalWidth="0" w:num="1">
            <w:col w:w="11420"/>
          </w:cols>
          <w:pgMar w:left="240" w:top="11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18" w:right="239" w:bottom="1440" w:gutter="0" w:footer="0" w:header="0"/>
          <w:type w:val="continuous"/>
        </w:sectPr>
      </w:pPr>
    </w:p>
    <w:bookmarkStart w:id="100" w:name="page101"/>
    <w:bookmarkEnd w:id="10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and $0.98 per share, respectively. The Company's non-gaming profits remain subject to the Macau Complementary Tax and its casino winnings remain subject to the Macau special gaming tax and other levies in accordance with its concession agreement.</w:t>
      </w:r>
    </w:p>
    <w:p>
      <w:pPr>
        <w:spacing w:after="0" w:line="162"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July 2011, Wynn Macau SA received an extension of its agreement with the Macau government that provides for an annual payment of MOP 15.5 million (approximately $1.9 million) as complementary tax otherwise due by shareholders of Wynn Macau SA on dividend distributions through 2015. In August 2016, Wynn Macau SA received an extension of the agreement for an additional five years applicable to tax years 2016 through 2020. The extension agreement provides for an annual payment of MOP 12.8 million (approximately $1.6 million). As a result of the shareholder dividend tax agreements, income tax expense includes $1.6 million for the year ended December 31, 2016 and $1.9 million for each of the years ended December 31, 2015 and 2014.</w:t>
      </w:r>
    </w:p>
    <w:p>
      <w:pPr>
        <w:spacing w:after="0" w:line="18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Macau special gaming tax is 35% of gross gaming revenue. U.S. tax laws only allow a foreign tax credit ("FTC") up to 35% of foreign source income. In February 2010, the Company and the IRS entered into a Pre-Filing Agreement ("PFA") providing that the Macau special gaming tax qualifies as a tax paid in lieu of an income tax and could be claimed as a U.S. FTC.</w:t>
      </w:r>
    </w:p>
    <w:p>
      <w:pPr>
        <w:spacing w:after="0" w:line="17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recognized tax benefits of $170.5 million, $264.1 million and $895.0 million, respectively (net of valuation allowance and uncertain tax positions), for FTCs generated from the earnings of Wynn Macau SA.</w:t>
      </w:r>
    </w:p>
    <w:p>
      <w:pPr>
        <w:spacing w:after="0" w:line="16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Accounting standards require recognition of a future tax benefit to the extent that realization of such benefit is more likely than not; otherwise, a valuation allowance is applied. During the years ended December 31, 2016 and 2015, the aggregate valuation allowance for deferred tax assets decreased by $44.2 million and increased by $34.1 million, respectively. The 2016 decrease is primarily related to a release of valuation allowance on prior year FTCs expected to be utilized as a result of the sale of a 49.9% ownership interest in Retail Joint Venture. The 2015 increase is primarily related to FTC carryforwards and other foreign deferred tax assets that are not considered more likely than not realizable.</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tax benefits resulting from the exercise of nonqualified stock options and the value of vested restricted stock and accrued dividends of $0.8 million, $0.4 million and $9.4 million as of December 31, 2016, 2015 and 2014, respectively, in excess of the amounts reported for such items as compensation costs under accounting standards related to stock-based compensation. The Company uses a with-and-without approach to determine if the excess tax deductions associated with compensation costs have reduced income taxes payable.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3,269,781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3,315,737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39,743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Intangibles and related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17,986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9,087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6,344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3,364,203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3,422,722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(3,201,406)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(3,271,173)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162,797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151,549</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liabilities—U.S.: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(159,171)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Redemption Note fair value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(187,906)</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22,454</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12,944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13,770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96,146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66,952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(59,705)</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7,247</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r>
      <w:tr>
        <w:trPr>
          <w:trHeight w:val="297"/>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2016, the Company had FTC carryforwards (net of uncertain tax positions) of $3.27 billion. Of this amount, $574.4 million will expire in 2018, $110.9 million in 2019, $530.4 million in 2020, $540.3 million in 2021, $756.0 million in 2023, $710.7 million in 2024 and $47.2 million in 2025. The Company has no U.S. tax loss carryforwards. The Company incurred foreign tax losses of $315.5 million, $124.4 million and $90.3 million during the tax years ended December 31, 2016, 2015 and 2014, respectively. These foreign tax loss carryforwards expire in 2018, 2017 and 2016, respectively.</w:t>
      </w:r>
    </w:p>
    <w:p>
      <w:pPr>
        <w:spacing w:after="0" w:line="180"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relies solely on the reversal of net taxable temporary differences. The valuation allowance for foreign tax credits was determined by scheduling the existing U.S. taxable temporary differences that are expected to reverse and result in foreign source income during the 10-year foreign tax credit carryover period.</w:t>
      </w:r>
    </w:p>
    <w:p>
      <w:pPr>
        <w:spacing w:after="0" w:line="176"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and 2015, the Company had valuation allowances of $3.20 billion and $3.26 billion, respectively, provided on FTCs expected to expire unutilized and valuation allowances of $4.4 million and $7.8 million provided on other U.S. deferred tax assets. As of December 31, 2016 and 2015, the Company had valuation allowances of $85.3 million and $59.7 million, respectively, provided on its foreign deferred tax assets.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420"/>
          </w:cols>
          <w:pgMar w:left="240" w:top="118" w:right="239" w:bottom="1440" w:gutter="0" w:footer="0" w:header="0"/>
          <w:type w:val="continuous"/>
        </w:sectPr>
      </w:pPr>
    </w:p>
    <w:bookmarkStart w:id="102" w:name="page103"/>
    <w:bookmarkEnd w:id="10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Company has not provided deferred U.S. federal income taxes or foreign withholding taxes on temporary differences in investments in foreign subsidiaries of $83.4 million and $336.4 million as of December 31, 2016 and 2015, respectively. These amounts are not considered permanently reinvested; however, U.S. FTCs should be sufficient to eliminate any U.S. federal income tax in the event of repatriation.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89,544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based on tax positions of the current year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3,297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based on tax positions of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for tax positions of prior years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Lapses in statutes of limitations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90,523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88,314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88,884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2015 and 2014, unrecognized tax benefits of $90.3 million, $88.3 million and $88.9 million, respectively, were recorded as reductions in deferred income taxes, net. As of December 31, 2016, the Company recorded $0.2 million of unrecognized tax benefits in other long-term liabilities. The Company had no unrecognized tax benefits recorded in other long-term liabilities as of December 31, 2015 and 2014.</w:t>
      </w:r>
    </w:p>
    <w:p>
      <w:pPr>
        <w:spacing w:after="0" w:line="176" w:lineRule="exact"/>
        <w:rPr>
          <w:sz w:val="20"/>
          <w:szCs w:val="20"/>
          <w:color w:val="auto"/>
        </w:rPr>
      </w:pP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2015 and 2014, $22.6 million, $20.9 million and $20.7 million, respectively, of unrecognized tax benefits would, if recognized, impact the effective tax rate.</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recognizes penalties and interest related to unrecognized tax benefits in the provision for income taxes. During the year ended December 31, 2016, the Company recognized $0.9 million in interest in the provision for income taxes. During the years ended December 31, 2015 and 2014, the Company recognized no interest and penalties.</w:t>
      </w:r>
    </w:p>
    <w:p>
      <w:pPr>
        <w:spacing w:after="0" w:line="176"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Company anticipates that the 2012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increase up to $2.2 million over the next 12 months.</w:t>
      </w:r>
    </w:p>
    <w:p>
      <w:pPr>
        <w:spacing w:after="0" w:line="176"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2012 domestic income tax returns remain subject to examination by the IRS to the extent tax attributes carryforward to future years. The Company's 2013 to 2015 domestic income tax returns also remain subject to examination by the IRS. The Company's 2012 to 2015 Macau income tax returns remain subject to examination by the Macau Financial Services Bureau.</w:t>
      </w:r>
    </w:p>
    <w:p>
      <w:pPr>
        <w:spacing w:after="0" w:line="18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Company has participated in the IRS Compliance Assurance Program ("CAP") for the 2012 through 2016 tax years and will continue to participate in the IRS CAP for the 2017 tax year.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June 2015 and February 2016, the Company received notification that the IRS completed its examination of the Company's 2013 and 2014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returns, respectively. There were no changes in its unrecognized tax benefits as a result of the completion of these examinations.</w:t>
      </w:r>
    </w:p>
    <w:p>
      <w:pPr>
        <w:spacing w:after="0" w:line="207" w:lineRule="exact"/>
        <w:rPr>
          <w:sz w:val="20"/>
          <w:szCs w:val="20"/>
          <w:color w:val="auto"/>
        </w:rPr>
      </w:pPr>
    </w:p>
    <w:p>
      <w:pPr>
        <w:ind w:right="460" w:firstLine="432"/>
        <w:spacing w:after="0" w:line="261" w:lineRule="auto"/>
        <w:rPr>
          <w:sz w:val="20"/>
          <w:szCs w:val="20"/>
          <w:color w:val="auto"/>
        </w:rPr>
      </w:pPr>
      <w:r>
        <w:rPr>
          <w:rFonts w:ascii="Times New Roman" w:cs="Times New Roman" w:eastAsia="Times New Roman" w:hAnsi="Times New Roman"/>
          <w:sz w:val="18"/>
          <w:szCs w:val="18"/>
          <w:color w:val="auto"/>
        </w:rPr>
        <w:t>In March 2013, the Macau Financial Services Bureau commenced an examination of the 2009, 2010 and 2011 Macau income tax returns of Wynn Macau SA. In December 2014, Wynn Macau SA reached an agreement with the Macau Financial Services Bureau regarding issues raised during its examination. While no additional tax was due as a result of the examination, adjustments were made to the Company's foreign net operating loss carryforwards.</w:t>
      </w:r>
    </w:p>
    <w:p>
      <w:pPr>
        <w:spacing w:after="0" w:line="180"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In December 2015, the Financial Services Bureau completed an examination of the 2012 Macau income tax return of Wynn Macau SA. On December 31, 2015, the statute of limitations for the 2010 Macau Complementary Tax return expired. 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result of the exam settlement and the expiration of the statute of limitations for the Macau Complementary Tax return, the total amount of unrecognized tax benefits decreased by $3.6 million.</w:t>
      </w:r>
    </w:p>
    <w:p>
      <w:pPr>
        <w:spacing w:after="0" w:line="162" w:lineRule="exact"/>
        <w:rPr>
          <w:sz w:val="20"/>
          <w:szCs w:val="20"/>
          <w:color w:val="auto"/>
        </w:rPr>
      </w:pPr>
    </w:p>
    <w:p>
      <w:pPr>
        <w:jc w:val="both"/>
        <w:ind w:right="360" w:firstLine="432"/>
        <w:spacing w:after="0" w:line="313" w:lineRule="auto"/>
        <w:rPr>
          <w:sz w:val="20"/>
          <w:szCs w:val="20"/>
          <w:color w:val="auto"/>
        </w:rPr>
      </w:pPr>
      <w:r>
        <w:rPr>
          <w:rFonts w:ascii="Times New Roman" w:cs="Times New Roman" w:eastAsia="Times New Roman" w:hAnsi="Times New Roman"/>
          <w:sz w:val="17"/>
          <w:szCs w:val="17"/>
          <w:color w:val="auto"/>
        </w:rPr>
        <w:t>On December 31, 2016, the statute of limitations for the 2011 Macau Complementary tax return expired. As a result of the exam settlement and the expiration of the statute of limitations for the Macau Complementary Tax return, the total amount of unrecognized tax benefits decreased by $3.7 million.</w:t>
      </w:r>
    </w:p>
    <w:p>
      <w:pPr>
        <w:spacing w:after="0" w:line="138"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In April 2016, the Financial Services Bureau commenced an examination of the 2011 and 2012 Macau income tax returns of Palo. In June 2016, the Financial Services Bureau concluded its examination with no changes.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Company is the lessor under leases for retail space at its resorts. The lease agreements include minimum base rents with contingent rental clauses primarily based on percentage of net sales exceeding minimum base rents.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the future minimum rentals to be received under the operating leases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00"/>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103,867</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87,443</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89,701</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89,956</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21,743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68,734</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461,444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rentals do not include contingent rentals. Contingent rentals were $34.6 million, $48.6 million and $87.8 million for the years ended December 31, 2016, 2015, and 2014, respectively.</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Company is the lessee under leases for office space, warehouse facilities, certain office equipment and various parcels of land, including the land that Wynn Macau and Wynn Palace are built on.</w:t>
      </w:r>
    </w:p>
    <w:p>
      <w:pPr>
        <w:spacing w:after="0" w:line="162"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was obligated under non-cancelable operating leases to make future minimum lease payments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20,389</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18,426</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17,875</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11,897</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10,842</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101,842</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181,271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Rent expense for the years ended December 31, 2016, 2015 and 2014, was $31.0 million, $28.6 million and $26.1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118" w:right="239" w:bottom="1440" w:gutter="0" w:footer="0" w:header="0"/>
        </w:sectPr>
      </w:pPr>
    </w:p>
    <w:bookmarkStart w:id="104" w:name="page105"/>
    <w:bookmarkEnd w:id="10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2016, the Company was obligated to make future payments of $59.7 million, $37.5 million, $17.8 million, $6.7 million, and $0.2 million during the years ending December 2017, 2018, 2019, 2020, and 2021,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has additional commitments for gaming tax payments in Macau and performance and other miscellaneous contracts. As of December 31, 2016, the Company was obligated under these arrangements, to make future minimum payments as follows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99,733</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73,255</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53,538</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30,382</w:t>
            </w:r>
          </w:p>
        </w:tc>
      </w:tr>
      <w:tr>
        <w:trPr>
          <w:trHeight w:val="27"/>
        </w:trPr>
        <w:tc>
          <w:tcPr>
            <w:tcW w:w="9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20,266</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4,695</w:t>
            </w:r>
          </w:p>
        </w:tc>
      </w:tr>
      <w:tr>
        <w:trPr>
          <w:trHeight w:val="27"/>
        </w:trPr>
        <w:tc>
          <w:tcPr>
            <w:tcW w:w="9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281,869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above table does not include community payments associated with the continuing operations of Wynn Boston Harbor, which commence upon the opening of the resort. These amounts are approximately $10.5 million per year with minimal annual increases.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2016, the Company had outstanding letters of credit of $13.7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jc w:val="both"/>
        <w:ind w:right="80" w:firstLine="432"/>
        <w:spacing w:after="0" w:line="281" w:lineRule="auto"/>
        <w:rPr>
          <w:sz w:val="20"/>
          <w:szCs w:val="20"/>
          <w:color w:val="auto"/>
        </w:rPr>
      </w:pPr>
      <w:r>
        <w:rPr>
          <w:rFonts w:ascii="Times New Roman" w:cs="Times New Roman" w:eastAsia="Times New Roman" w:hAnsi="Times New Roman"/>
          <w:sz w:val="17"/>
          <w:szCs w:val="17"/>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18" w:right="239" w:bottom="1440" w:gutter="0" w:footer="0" w:header="0"/>
        </w:sectPr>
      </w:pPr>
    </w:p>
    <w:bookmarkStart w:id="105" w:name="page106"/>
    <w:bookmarkEnd w:id="10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4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60"/>
          </w:cols>
          <w:pgMar w:left="240" w:top="118" w:right="299" w:bottom="1440" w:gutter="0" w:footer="0" w:header="0"/>
        </w:sectPr>
      </w:pPr>
    </w:p>
    <w:bookmarkStart w:id="106" w:name="page107"/>
    <w:bookmarkEnd w:id="10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Restated Stockholders Agreement, dated as of January 6, 2010, by and among Aruze, Mr. Wynn, and Elaine Wynn (the "Stockholders Agreement").</w:t>
      </w:r>
    </w:p>
    <w:p>
      <w:pPr>
        <w:spacing w:after="0" w:line="225"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the Company's directors. In addition to continuing to seek the declarations asserted under the original cross claim, the amended cross claim seeks an order compelling Mr. Wynn to comply 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and will vigorously defend against the claims asserted against them. On May 5, 2016, the court granted Wynn Resorts' and Wynn Resorts' General Counsel's motions to dismiss and denied Mr. Wynn's motion to dismiss. On May 26, 2016, the court denied the Wynn Cross Defendants' motion to sever. Mr. Wynn is continuing to oppose Elaine Wynn's cross claim.</w:t>
      </w:r>
    </w:p>
    <w:p>
      <w:pPr>
        <w:spacing w:after="0" w:line="18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and the 2025 Indenture, if (1) a change of control occurs and (2) at any time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6"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w:t>
      </w:r>
    </w:p>
    <w:p>
      <w:pPr>
        <w:spacing w:after="0" w:line="19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February 12, 2016, and February 13, 2017, the Company issued a check for the interest payment due at those times to the clerk of the court for deposit into the clerk's trust account.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9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June 2016, Wynn Resorts filed a motion to disqualify one of Ms. Wynn's law firms and sought an injunction related to Ms. Wynn providing her attorneys with confidential and privileged information that belongs to Wynn Resorts. On June 23, 2016, the court stayed discovery as to both Ms. Wynn and the Okada Parties, pending an evidentiary disqualification hearing currently scheduled for March 2017. On January 23, 2017, the court issued a temporary restraining order that halted such law firm’s participation in the case, with the sole exception of contesting their disqualification. The court has indicated a preliminary schedule that would have the trial begin in February 2018.</w:t>
      </w:r>
    </w:p>
    <w:p>
      <w:pPr>
        <w:spacing w:after="0" w:line="184"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The Supreme Court of Japan dismissed the appeal as to all of the individuals (including the Company directors) in February 2016 and as to Wynn Resorts in March 2016, thus upholding the motion for dismissal of the Okada Japan Parties' defamation action against the Wynn Parties.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7"/>
          <w:szCs w:val="17"/>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stayed the claims asserted by the Company against Mr. Okada pending the resolution of the Redemption Action.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Macau Action:</w:t>
      </w:r>
    </w:p>
    <w:p>
      <w:pPr>
        <w:spacing w:after="0" w:line="22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the Company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the Company to the University of Macau Development Foundation was unlawful. The plaintiffs seek dissolution of Wynn Macau SA and compensatory damages. The Macau Court has served the complaint on the defendants and the Wynn Macau Parties filed their response on May 17, 2016.</w:t>
      </w:r>
    </w:p>
    <w:p>
      <w:pPr>
        <w:spacing w:after="0" w:line="18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Company believes these actions commenced by the Okada Parties discussed above are without merit and will vigorously defend the Wynn Macau Parties against them. Management has determined that based on proceedings to date, it is currently unable to determine the probability of the outcome of these actions or the range of reasonably possible loss, if 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right="20" w:firstLine="8"/>
        <w:spacing w:after="0" w:line="251"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Development Foundation;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193"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right="20" w:firstLine="8"/>
        <w:spacing w:after="0" w:line="25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ind w:right="100" w:firstLine="392"/>
        <w:spacing w:after="0" w:line="313" w:lineRule="auto"/>
        <w:rPr>
          <w:sz w:val="20"/>
          <w:szCs w:val="20"/>
          <w:color w:val="auto"/>
        </w:rPr>
      </w:pPr>
      <w:r>
        <w:rPr>
          <w:rFonts w:ascii="Times New Roman" w:cs="Times New Roman" w:eastAsia="Times New Roman" w:hAnsi="Times New Roman"/>
          <w:sz w:val="17"/>
          <w:szCs w:val="17"/>
          <w:color w:val="auto"/>
        </w:rPr>
        <w:t>On September 17, 2014, the Massachusetts Gaming Commission ("MGC") designated Wynn MA, LLC ("Wynn MA"), an indirect wholly owned subsidiary of the Company, the award winner of the Greater Boston (Region A) gaming license. On November 7, 2014, the gaming license became effective.</w:t>
      </w:r>
    </w:p>
    <w:p>
      <w:pPr>
        <w:spacing w:after="0" w:line="138"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Revere Action: 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 On July 1, 2015, the MGC filed motions to dismiss Mohegan's and the City of Revere's complaints. Oral argument on these motions was heard on September 22, 2015.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On April 22, 2016, the MGC filed an appeal to the Massachusetts Supreme Judicial Court ("SJC"). On May 11, 2016, the SJC granted the application. The SJC has also granted, as of September 20, 2016, the City of Revere and IBEW's application for direct appellate review. The parties in both matters filed written briefs and oral arguments were heard by the SJC on December 5, 2016. A decision by the SJC is expected by April 2017.</w:t>
      </w:r>
    </w:p>
    <w:p>
      <w:pPr>
        <w:spacing w:after="0" w:line="193"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Somerville Action: On December 4, 2014, the City of Somerville filed a complaint similar to the one in the Revere Action against the MGC and each of the five gaming commissioners in Suffolk Superior Court. The case was previously stayed at the City of Somerville's request, pending the results of the Massachusetts Department of Environmental Protection's review of Wynn MA's proposed project and the required mitigation actions. However, on July 12, 2016, the City of Somerville filed an amended complaint to add information about certain environmental filings and events over the last year. On August 22, 2016 the City of Somerville and Wynn MA entered into a Settlement Agreement and Release pursuant to which all actions among the City of Somerville, Wynn MA and the MGC were resolved. As part of that Settlement Agreement, this action has been dismissed with prejudice.</w:t>
      </w:r>
    </w:p>
    <w:p>
      <w:pPr>
        <w:spacing w:after="0" w:line="18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Boston Action: 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Wynn Boston Harbor. On May 20, 2015, the City of Boston filed an amended complaint requesting the court to nullify and vacate all decisions made by the MGC leading to and resulting in the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Oral argument was heard on September 22, 2015. On December 3, 2015, the court granted the MGC's motion and dismissed the City of Boston's amended complaint. In January 2016, all actions among the City of Boston, Wynn MA and the MGC were resolved through a settlement set forth in a Surrounding Community Agreement.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Wynn MA was not named in the above complaints. The MGC retained private legal representation at its own nontaxpayer-funded expense.</w:t>
      </w:r>
    </w:p>
    <w:p>
      <w:pPr>
        <w:spacing w:after="0" w:line="225"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August 28, 2015, the Secretary of Energy and Environmental Affairs issued a certificate determining that Wynn MA's Second Supplemental Final Environmental Impact Report ("Report") submitted with respect to the project "adequately and properly complies" with the Massachusetts environmental and implementing regulations. On September 29, 2015, following the issuance of this certificate, the City of Boston filed a complaint against Wynn MA in Suffolk Superior Court seeking declaratory judgment that the certificate issued to Wynn MA is invalid due to an alleged failure to comply with certain provisions of the state environmental regulations and seeking to restrain Wynn MA from causing damage to the environment. All City of Boston claims have been resolved by settlement between Wynn MA and the City of Boston. In addition, on September 29, 2015, the City of Somerville filed a complaint against Wynn MA and the MGC in Suffolk Superior Court alleging that Wynn MA's Report failed to comply with certain provisions of the state environmental regulations and seeking declaratory relief with respect to the effect of the issuance of Wynn MA's gaming license. Wynn MA responded to the complaint in June 2016. As stated above, on August 22, 2016, the City of Somerville and Wynn MA entered into a Settlement Agreement and Release. As part of that Settlement Agreement, this action has been dismissed with prejudice.</w:t>
      </w:r>
    </w:p>
    <w:p>
      <w:pPr>
        <w:spacing w:after="0" w:line="18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On February 11, 2016, the City of Somerville filed an appeal challenging the draft waterways license ("Chapter 91 License") issued by the Massachusetts Department of Environmental Protection ("MassDEP") on January 22, 2016, contending that it failed to conform to applicable regulations. The Chapter 91 License authorized Wynn MA's proposed remediation and redevelopment of the project site. An administrative hearing was held on June 2, 2016. On July 15, 2016, MassDEP's Office of Appeals and Dispute Resolution issued a recommended final decision approving Wynn MA's Chapter 91 License, subject to</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certain conditions. The recommended final decision was adopted by MassDEP's Commissioner on July 22, 2016, with minor modifications. On August 3, 2016, MassDEP issued the final Chapter 91 License to Wynn MA. As a result of the final issuance, Wynn MA has commenced construction activities. As discussed above, on August 22, 2016, the City of Somerville and Wynn MA entered into a Settlement Agreement and Release. As part of that Settlement Agreement, the City of Somerville and Wynn MA agreed not to seek judicial review of the Commissioner's Final Decision in the Chapter 91 appeal.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(collectively, "Macau Operations") for geographical presentation. Wynn Las Vegas and Encore, an expansion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also reviews construction and development activities for each of its projects under development, in addition to its reportable segments. The Company separately identifies capital expenditures and assets for its Wynn Boston Harbor development project. These amounts for previous years have been reclassified from Corporate and Other to be consistent with the current year presentation. Other Macau primarily represents the Company's Macau holding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118" w:right="239" w:bottom="1440" w:gutter="0" w:footer="0" w:header="0"/>
        </w:sectPr>
      </w:pPr>
    </w:p>
    <w:bookmarkStart w:id="112" w:name="page113"/>
    <w:bookmarkEnd w:id="1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1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2,264,087</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2,463,092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3,796,750</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583,336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2,847,423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2,463,092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3,796,750</w:t>
            </w:r>
          </w:p>
        </w:tc>
        <w:tc>
          <w:tcPr>
            <w:tcW w:w="0" w:type="dxa"/>
            <w:vAlign w:val="bottom"/>
          </w:tcPr>
          <w:p>
            <w:pPr>
              <w:spacing w:after="0"/>
              <w:rPr>
                <w:sz w:val="1"/>
                <w:szCs w:val="1"/>
                <w:color w:val="auto"/>
              </w:rPr>
            </w:pPr>
          </w:p>
        </w:tc>
      </w:tr>
      <w:tr>
        <w:trPr>
          <w:trHeight w:val="24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Las Vegas Operations</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1,618,874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1,612,791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1,636,911</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4,466,297</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4,075,883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5,433,661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Property EBITDA</w:t>
            </w:r>
            <w:r>
              <w:rPr>
                <w:rFonts w:ascii="Times New Roman" w:cs="Times New Roman" w:eastAsia="Times New Roman" w:hAnsi="Times New Roman"/>
                <w:sz w:val="18"/>
                <w:szCs w:val="18"/>
                <w:color w:val="auto"/>
              </w:rPr>
              <w:t>(1)</w:t>
            </w:r>
          </w:p>
        </w:tc>
        <w:tc>
          <w:tcPr>
            <w:tcW w:w="1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681,509</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708,623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1,258,082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1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Macau Operations</w:t>
            </w:r>
          </w:p>
        </w:tc>
        <w:tc>
          <w:tcPr>
            <w:tcW w:w="1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784,545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708,623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1,258,082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1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474,782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477,166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515,196</w:t>
            </w: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1,259,327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1,185,789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1,773,278</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154,717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77,623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30,146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404,730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322,629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314,119</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54,822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10,437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80,162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76,079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111,795</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38,286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39,154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1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737,665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526,975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507,000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521,662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658,814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1,266,278</w:t>
            </w:r>
          </w:p>
        </w:tc>
        <w:tc>
          <w:tcPr>
            <w:tcW w:w="0" w:type="dxa"/>
            <w:vAlign w:val="bottom"/>
          </w:tcPr>
          <w:p>
            <w:pPr>
              <w:spacing w:after="0"/>
              <w:rPr>
                <w:sz w:val="1"/>
                <w:szCs w:val="1"/>
                <w:color w:val="auto"/>
              </w:rPr>
            </w:pPr>
          </w:p>
        </w:tc>
      </w:tr>
      <w:tr>
        <w:trPr>
          <w:trHeight w:val="22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20,441</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(315,062)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interest rate swap fair value</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 Redemption Note fair value</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52,041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0" w:type="dxa"/>
            <w:vAlign w:val="bottom"/>
          </w:tcPr>
          <w:p>
            <w:pPr>
              <w:spacing w:after="0"/>
              <w:rPr>
                <w:sz w:val="1"/>
                <w:szCs w:val="1"/>
                <w:color w:val="auto"/>
              </w:rPr>
            </w:pPr>
          </w:p>
        </w:tc>
      </w:tr>
      <w:tr>
        <w:trPr>
          <w:trHeight w:val="243"/>
        </w:trPr>
        <w:tc>
          <w:tcPr>
            <w:tcW w:w="4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7"/>
        </w:trPr>
        <w:tc>
          <w:tcPr>
            <w:tcW w:w="4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non-operating income and expenses</w:t>
            </w:r>
          </w:p>
        </w:tc>
        <w:tc>
          <w:tcPr>
            <w:tcW w:w="15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(369,567)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(307,416)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310,597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289,247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958,862</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302,469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281,524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962,644</w:t>
            </w:r>
          </w:p>
        </w:tc>
        <w:tc>
          <w:tcPr>
            <w:tcW w:w="0" w:type="dxa"/>
            <w:vAlign w:val="bottom"/>
          </w:tcPr>
          <w:p>
            <w:pPr>
              <w:spacing w:after="0"/>
              <w:rPr>
                <w:sz w:val="1"/>
                <w:szCs w:val="1"/>
                <w:color w:val="auto"/>
              </w:rPr>
            </w:pPr>
          </w:p>
        </w:tc>
      </w:tr>
      <w:tr>
        <w:trPr>
          <w:trHeight w:val="243"/>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241,975</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195,290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731,554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118" w:right="779" w:bottom="1440" w:gutter="0" w:footer="0" w:header="0"/>
        </w:sectPr>
      </w:pPr>
    </w:p>
    <w:bookmarkStart w:id="113" w:name="page114"/>
    <w:bookmarkEnd w:id="1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980" w:right="80" w:hanging="972"/>
        <w:spacing w:after="0" w:line="25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28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3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43,548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92,566</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838,271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1,566,090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982,389</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Macau Operations</w:t>
            </w:r>
          </w:p>
        </w:tc>
        <w:tc>
          <w:tcPr>
            <w:tcW w:w="2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881,819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1,634,834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1,074,955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62,535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Wynn Boston Harbor</w:t>
            </w:r>
          </w:p>
        </w:tc>
        <w:tc>
          <w:tcPr>
            <w:tcW w:w="2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212,197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67,705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82,254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1,225,943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1,921,240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1,221,357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4"/>
        </w:trPr>
        <w:tc>
          <w:tcPr>
            <w:tcW w:w="38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28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Macau</w:t>
            </w:r>
          </w:p>
        </w:tc>
        <w:tc>
          <w:tcPr>
            <w:tcW w:w="3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1,161,670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1,331,312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1,519,339</w:t>
            </w:r>
          </w:p>
        </w:tc>
        <w:tc>
          <w:tcPr>
            <w:tcW w:w="0" w:type="dxa"/>
            <w:vAlign w:val="bottom"/>
          </w:tcPr>
          <w:p>
            <w:pPr>
              <w:spacing w:after="0"/>
              <w:rPr>
                <w:sz w:val="1"/>
                <w:szCs w:val="1"/>
                <w:color w:val="auto"/>
              </w:rPr>
            </w:pPr>
          </w:p>
        </w:tc>
      </w:tr>
      <w:tr>
        <w:trPr>
          <w:trHeight w:val="243"/>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4,317,458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3,439,041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1,854,521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Macau</w:t>
            </w:r>
          </w:p>
        </w:tc>
        <w:tc>
          <w:tcPr>
            <w:tcW w:w="2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28,927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570,959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960,008</w:t>
            </w:r>
          </w:p>
        </w:tc>
        <w:tc>
          <w:tcPr>
            <w:tcW w:w="0" w:type="dxa"/>
            <w:vAlign w:val="bottom"/>
          </w:tcPr>
          <w:p>
            <w:pPr>
              <w:spacing w:after="0"/>
              <w:rPr>
                <w:sz w:val="1"/>
                <w:szCs w:val="1"/>
                <w:color w:val="auto"/>
              </w:rPr>
            </w:pPr>
          </w:p>
        </w:tc>
      </w:tr>
      <w:tr>
        <w:trPr>
          <w:trHeight w:val="237"/>
        </w:trPr>
        <w:tc>
          <w:tcPr>
            <w:tcW w:w="3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Macau Operations</w:t>
            </w:r>
          </w:p>
        </w:tc>
        <w:tc>
          <w:tcPr>
            <w:tcW w:w="28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5,508,055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5,341,312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4,333,868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2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3,275,780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3,145,713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3,442,675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Boston Harbor</w:t>
            </w: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419,001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111,424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2,750,721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1,786,281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1,113,953</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11,953,557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10,459,159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9,001,920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88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8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4" w:name="page115"/>
    <w:bookmarkEnd w:id="1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4,973,854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4,324,743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2,799,781</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3,442,842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3,337,356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3,268,576</w:t>
            </w:r>
          </w:p>
        </w:tc>
      </w:tr>
      <w:tr>
        <w:trPr>
          <w:trHeight w:val="237"/>
        </w:trPr>
        <w:tc>
          <w:tcPr>
            <w:tcW w:w="67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8,416,696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7,662,099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6,068,357</w:t>
            </w: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Quarterly Financial Information (Unaudited)</w:t>
      </w:r>
    </w:p>
    <w:p>
      <w:pPr>
        <w:spacing w:after="0" w:line="229"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tables (in thousands, except per share data) present selected quarterly financial information for 2016 and 2015,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 2016</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00" w:type="dxa"/>
            <w:vAlign w:val="bottom"/>
          </w:tcPr>
          <w:p>
            <w:pPr>
              <w:spacing w:after="0"/>
              <w:rPr>
                <w:sz w:val="22"/>
                <w:szCs w:val="22"/>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997,678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1,058,364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1,109,822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1,300,433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4,466,297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158,298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147,539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76,931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138,894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521,662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302,469</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75,221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70,391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113,800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241,975</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2.38</w:t>
            </w:r>
          </w:p>
        </w:tc>
      </w:tr>
      <w:tr>
        <w:trPr>
          <w:trHeight w:val="643"/>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00" w:type="dxa"/>
            <w:vAlign w:val="bottom"/>
          </w:tcPr>
          <w:p>
            <w:pPr>
              <w:spacing w:after="0"/>
              <w:rPr>
                <w:sz w:val="22"/>
                <w:szCs w:val="22"/>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1,092,238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1,040,458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996,285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946,902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4,075,883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185,059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169,121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152,774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151,860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658,814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77,203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281,524</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56,460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96,210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87,221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195,290</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Wynn Palace opened on August 22, 2016.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On January 26, 2017, the Company announced a cash dividend of $0.50 per share, payable on February 28, 2017, to stockholders of record as of February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118" w:right="239" w:bottom="1440" w:gutter="0" w:footer="0" w:header="0"/>
        </w:sectPr>
      </w:pPr>
    </w:p>
    <w:bookmarkStart w:id="115" w:name="page116"/>
    <w:bookmarkEnd w:id="1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firstLine="440"/>
        <w:spacing w:after="0" w:line="253" w:lineRule="auto"/>
        <w:tabs>
          <w:tab w:leader="none" w:pos="85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2016,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92" w:lineRule="exact"/>
        <w:rPr>
          <w:rFonts w:ascii="Times New Roman" w:cs="Times New Roman" w:eastAsia="Times New Roman" w:hAnsi="Times New Roman"/>
          <w:sz w:val="18"/>
          <w:szCs w:val="18"/>
          <w:color w:val="auto"/>
        </w:rPr>
      </w:pPr>
    </w:p>
    <w:p>
      <w:pPr>
        <w:ind w:right="220" w:firstLine="440"/>
        <w:spacing w:after="0" w:line="284" w:lineRule="auto"/>
        <w:tabs>
          <w:tab w:leader="none" w:pos="6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 Report on Internal Control Over Financial Reporting. </w:t>
      </w:r>
      <w:r>
        <w:rPr>
          <w:rFonts w:ascii="Times New Roman" w:cs="Times New Roman" w:eastAsia="Times New Roman" w:hAnsi="Times New Roman"/>
          <w:sz w:val="18"/>
          <w:szCs w:val="18"/>
          <w:color w:val="auto"/>
        </w:rPr>
        <w:t>Management of the Company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internal control over financial reporting, as defined in Rule 13a-15(f) and 15d-15(f) under the Exchange Act.</w:t>
      </w:r>
    </w:p>
    <w:p>
      <w:pPr>
        <w:spacing w:after="0" w:line="16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2016. In making this assessment, management used the criteria set forth by the Committee of Sponsoring Organizations of the Treadway Commission (2013 framework)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Control-Integrated Framework.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our assessment, management believes that, as of December 31, 2016, the Company's internal control over financial reporting was effective.</w:t>
      </w:r>
    </w:p>
    <w:p>
      <w:pPr>
        <w:spacing w:after="0" w:line="225"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issued an audit report on our internal control over financial reporting. This report appears under "Report of Independent Registered Public Accounting Firm on Internal Control Over Financial Reporting" on page 63.</w:t>
      </w:r>
    </w:p>
    <w:p>
      <w:pPr>
        <w:spacing w:after="0" w:line="160" w:lineRule="exact"/>
        <w:rPr>
          <w:sz w:val="20"/>
          <w:szCs w:val="20"/>
          <w:color w:val="auto"/>
        </w:rPr>
      </w:pPr>
    </w:p>
    <w:p>
      <w:pPr>
        <w:ind w:right="160" w:firstLine="440"/>
        <w:spacing w:after="0" w:line="267" w:lineRule="auto"/>
        <w:tabs>
          <w:tab w:leader="none" w:pos="8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the Company's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80"/>
          </w:cols>
          <w:pgMar w:left="240" w:top="118" w:right="279" w:bottom="1440" w:gutter="0" w:footer="0" w:header="0"/>
        </w:sectPr>
      </w:pPr>
    </w:p>
    <w:bookmarkStart w:id="116" w:name="page117"/>
    <w:bookmarkEnd w:id="1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Registrant's definitive Proxy Statement for its 2017 Annual Stockholder Meeting to be filed with the Securities and Exchange Commission within 120 days after December 31, 2016 (the "2017 Proxy Statement") under the captions "Election of Directors," "Executive Officers," "Corporate Governance" and "Section 16(a) Beneficial Ownership Reporting Compliance," and is incorporated herein by reference.</w:t>
      </w:r>
    </w:p>
    <w:p>
      <w:pPr>
        <w:spacing w:after="0" w:line="180" w:lineRule="exact"/>
        <w:rPr>
          <w:sz w:val="20"/>
          <w:szCs w:val="20"/>
          <w:color w:val="auto"/>
        </w:rPr>
      </w:pPr>
    </w:p>
    <w:p>
      <w:pPr>
        <w:ind w:right="420" w:firstLine="432"/>
        <w:spacing w:after="0" w:line="258" w:lineRule="auto"/>
        <w:rPr>
          <w:sz w:val="20"/>
          <w:szCs w:val="20"/>
          <w:color w:val="auto"/>
        </w:rPr>
      </w:pPr>
      <w:r>
        <w:rPr>
          <w:rFonts w:ascii="Times New Roman" w:cs="Times New Roman" w:eastAsia="Times New Roman" w:hAnsi="Times New Roman"/>
          <w:sz w:val="18"/>
          <w:szCs w:val="18"/>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http://www.wynnresorts.com under the heading "Corporate Governance" within four business days following such amendment or waiver or as otherwise required by the NASDAQ listing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2017 Proxy Statement under the captions "Director Compensation," "Compensation Discussion and Analysis" and "Executive Compensation Tables,"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 Notes to Consolidated Financial Statements).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4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5"/>
        </w:trPr>
        <w:tc>
          <w:tcPr>
            <w:tcW w:w="6740" w:type="dxa"/>
            <w:vAlign w:val="bottom"/>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78"/>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15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1,306,260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83.56</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3,872,121</w:t>
            </w:r>
          </w:p>
        </w:tc>
        <w:tc>
          <w:tcPr>
            <w:tcW w:w="0" w:type="dxa"/>
            <w:vAlign w:val="bottom"/>
          </w:tcPr>
          <w:p>
            <w:pPr>
              <w:spacing w:after="0"/>
              <w:rPr>
                <w:sz w:val="1"/>
                <w:szCs w:val="1"/>
                <w:color w:val="auto"/>
              </w:rPr>
            </w:pPr>
          </w:p>
        </w:tc>
      </w:tr>
      <w:tr>
        <w:trPr>
          <w:trHeight w:val="78"/>
        </w:trPr>
        <w:tc>
          <w:tcPr>
            <w:tcW w:w="674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6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674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7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1,306,260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83.56</w:t>
            </w: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3,872,121</w:t>
            </w:r>
          </w:p>
        </w:tc>
        <w:tc>
          <w:tcPr>
            <w:tcW w:w="0" w:type="dxa"/>
            <w:vAlign w:val="bottom"/>
          </w:tcPr>
          <w:p>
            <w:pPr>
              <w:spacing w:after="0"/>
              <w:rPr>
                <w:sz w:val="1"/>
                <w:szCs w:val="1"/>
                <w:color w:val="auto"/>
              </w:rPr>
            </w:pPr>
          </w:p>
        </w:tc>
      </w:tr>
      <w:tr>
        <w:trPr>
          <w:trHeight w:val="59"/>
        </w:trPr>
        <w:tc>
          <w:tcPr>
            <w:tcW w:w="6740" w:type="dxa"/>
            <w:vAlign w:val="bottom"/>
            <w:tcBorders>
              <w:bottom w:val="single" w:sz="8" w:color="CCEEFF"/>
            </w:tcBorders>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60" w:firstLine="432"/>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2017 Proxy Statement under the caption "Certain Beneficial Ownership and Management,"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2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2017 Proxy Statement under the caption "Certain Relationships and Related Transactions," and "Corporate Governance,"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2017 Proxy Statement under the caption "Ratification of Appointment of Independent Auditors," and is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(a)1. The following consolidated financial statements of the Company are filed as part of this report under Item 8—"Financial Statements and Supplementary Data."</w:t>
      </w:r>
    </w:p>
    <w:p>
      <w:pPr>
        <w:spacing w:after="0" w:line="162"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2016 and 2015</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years ended December 31, 2016, 2015 and 2014</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2016, 2015 and 2014</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2016, 2015 and 2014</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2016, 2015 and 2014</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Financial Statement Schedule filed in Part IV of this report:</w:t>
      </w:r>
    </w:p>
    <w:p>
      <w:pPr>
        <w:spacing w:after="0" w:line="22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60"/>
          </w:cols>
          <w:pgMar w:left="240" w:top="118" w:right="299" w:bottom="1440" w:gutter="0" w:footer="0" w:header="0"/>
        </w:sectPr>
      </w:pPr>
    </w:p>
    <w:bookmarkStart w:id="118" w:name="page119"/>
    <w:bookmarkEnd w:id="1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AND QUALIFYING ACCOUNTS</w:t>
      </w:r>
    </w:p>
    <w:p>
      <w:pPr>
        <w:spacing w:after="0" w:line="31"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Doubtful</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49"/>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54,742</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74,678</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49"/>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 valuation allowance: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3,330,878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3,286,723</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3,296,789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3,330,878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2,587,025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745,112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3,296,789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118" w:right="1359" w:bottom="1440" w:gutter="0" w:footer="0" w:header="0"/>
        </w:sectPr>
      </w:pPr>
    </w:p>
    <w:bookmarkStart w:id="119" w:name="page120"/>
    <w:bookmarkEnd w:id="1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 and are incorporated herein by reference.</w:t>
      </w:r>
    </w:p>
    <w:p>
      <w:pPr>
        <w:spacing w:after="0" w:line="232" w:lineRule="exact"/>
        <w:rPr>
          <w:sz w:val="20"/>
          <w:szCs w:val="20"/>
          <w:color w:val="auto"/>
        </w:rPr>
      </w:pPr>
    </w:p>
    <w:tbl>
      <w:tblPr>
        <w:tblLayout w:type="fixed"/>
        <w:tblInd w:w="18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64"/>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21"/>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No.</w:t>
            </w:r>
          </w:p>
        </w:tc>
        <w:tc>
          <w:tcPr>
            <w:tcW w:w="790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43"/>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3.1</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Amended and Restated Articles of Incorporation of the Registrant.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5/8/2015</w:t>
            </w:r>
          </w:p>
        </w:tc>
      </w:tr>
      <w:tr>
        <w:trPr>
          <w:trHeight w:val="270"/>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3.2</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Eighth Amended and Restated Bylaws of the Registrant.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11/6/2015</w:t>
            </w:r>
          </w:p>
        </w:tc>
      </w:tr>
      <w:tr>
        <w:trPr>
          <w:trHeight w:val="270"/>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4.1</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Specimen certificate for shares of Common Stock, $0.01 par value per share of the Registrant.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10/7/2002</w:t>
            </w: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4.4</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as of March 12, 2012, by and among Wynn Las Vegas, LLC, Wynn Las Vegas Capital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3/13/2012</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 the Guarantors named therein and U.S. Bank National Association, as trustee.</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4.5</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as of May 22, 2013, by and among Wynn Las Vegas, LLC, Wynn Las Vegas Capital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5/22/2013</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 the Guarantors named therein and U.S. Bank National Association, as trustee.</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4.6</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as of February 18, 2015, by and among Wynn Las Vegas, LLC, Wynn Las Vegas Capital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2/18/2015</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 the Guarantors named therein and U.S. Bank National Association, as trustee.</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4.7</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 dated as of February 18, 2015, to Indenture, dated as of March 12, 2012, by and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216"/>
        </w:trPr>
        <w:tc>
          <w:tcPr>
            <w:tcW w:w="98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among Wynn Las Vegas, LLC, Wynn Las Vegas Capital Corp., the Guarantors named therein and U.S.</w:t>
            </w: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National Association, as trustee.</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4.8</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Indenture, dated as of February 18, 2015, to Indenture, dated as of May 22, 2013, by and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216"/>
        </w:trPr>
        <w:tc>
          <w:tcPr>
            <w:tcW w:w="980" w:type="dxa"/>
            <w:vAlign w:val="bottom"/>
          </w:tcPr>
          <w:p>
            <w:pPr>
              <w:spacing w:after="0"/>
              <w:rPr>
                <w:sz w:val="18"/>
                <w:szCs w:val="18"/>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among Wynn Las Vegas, LLC, Wynn Las Vegas Capital Corp., the Guarantors named therein and U.S.</w:t>
            </w:r>
          </w:p>
        </w:tc>
        <w:tc>
          <w:tcPr>
            <w:tcW w:w="10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National Association, as trustee.</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+10.1.1.0</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dated as of October 4, 2002, by and between Wynn Resorts, Limited and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10/7/2002</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+10.1.1.1</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Employment Agreement, dated as of August 6, 2004, by and between Stephen 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11/4/2004</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Wynn and Wynn Resorts, Limited.</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+10.1.1.2</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Employment Agreement between Wynn Resorts, Limited and Stephen A. Wynn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3/1/2007</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dated January 31, 2007.</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+10.1.1.3</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Amendment to Employment Agreement, dated as of September 11, 2008, between Wynn Resorts,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9/15/2008</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and Stephen A. Wynn.</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+10.1.1.4</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Amendment to Employment Agreement, dated as of December 31, 2008, between Wynn Resorts,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3/2/2009</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and Stephen A. Wynn.</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+10.1.1.5</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16, 2009, by and between Wynn Resorts,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5/11/2009</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and Stephen A. Wynn.</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+10.1.1.6</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Sixth Amendment to Employment Agreement, dated as of February 24, 2011, between Wynn Resorts,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2/28/2011</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and Stephen A. Wynn.</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+10.1.1.7</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Seventh Amendment to Employment Agreement, dated as of January 15, 2015, between Wynn Resorts,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and Stephen A. Wynn.</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+10.1.2.0</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dated as of November 18, 2013, by and between Wynn Resorts, Limited and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 Maddox.</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+10.1.3.1</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dated as of April 24, 2007, by and between Wynn Resorts, Limited and Kim</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3/1/2010</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Sinatra.</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+10.1.3.2</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Employment Agreement, dated as of December 31, 2008, by and between Wynn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3/1/2010</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Resorts, Limited and Kim Sinatra.</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+10.1.3.3</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12, 2009, by and between Wynn Resorts,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3/1/2010</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and Kim Sinatra.</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+10.1.3.4</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Employment Agreement, dated as of November 30, 2009, by and between Wynn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3/1/2010</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Resorts, Limited and Kim Sinatra.</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+10.1.3.5</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Amendment to Employment Agreement, dated as of May 5, 2014, by and between Wynn Resorts,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8/8/2014</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and Kim Sinatra.</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+10.1.3.6</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Amendment to Employment Agreement, dated as of April 27, 2015, by and between Wynn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8/7/2015</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Resorts, Limited and Kim Sinatra.</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9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rPr>
              <w:t>+10.1.4.0</w:t>
            </w: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Employment Agreement, dated as of August 31, 2005, by and between Wynn Resorts, Limited and John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234"/>
        </w:trPr>
        <w:tc>
          <w:tcPr>
            <w:tcW w:w="980" w:type="dxa"/>
            <w:vAlign w:val="bottom"/>
          </w:tcPr>
          <w:p>
            <w:pPr>
              <w:spacing w:after="0"/>
              <w:rPr>
                <w:sz w:val="20"/>
                <w:szCs w:val="20"/>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Strzemp.</w:t>
            </w:r>
          </w:p>
        </w:tc>
        <w:tc>
          <w:tcPr>
            <w:tcW w:w="10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420"/>
          </w:cols>
          <w:pgMar w:left="240" w:top="118" w:right="239" w:bottom="1440" w:gutter="0" w:footer="0" w:header="0"/>
          <w:type w:val="continuous"/>
        </w:sectPr>
      </w:pPr>
    </w:p>
    <w:bookmarkStart w:id="120" w:name="page121"/>
    <w:bookmarkEnd w:id="1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243"/>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+10.1.4.1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 Amendment to Employment Agreement, dated as of March 26, 2008, by and between Wynn Resorts,</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and John Strzemp.</w:t>
            </w:r>
          </w:p>
        </w:tc>
      </w:tr>
      <w:tr>
        <w:trPr>
          <w:trHeight w:val="306"/>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+10.1.4.2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Amendment to Employment Agreement, dated as of December 31, 2008, by and between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Limited and John Strzemp.</w:t>
            </w:r>
          </w:p>
        </w:tc>
      </w:tr>
      <w:tr>
        <w:trPr>
          <w:trHeight w:val="306"/>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+10.1.4.3</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12, 2009, by and between Wynn Resorts,</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and John Strzemp.</w:t>
            </w:r>
          </w:p>
        </w:tc>
      </w:tr>
      <w:tr>
        <w:trPr>
          <w:trHeight w:val="306"/>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+10.1.4.4</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Fourth Amendment to Employment Agreement, dated as of March 23, 2009, by and between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Limited and John Strzemp.</w:t>
            </w:r>
          </w:p>
        </w:tc>
      </w:tr>
      <w:tr>
        <w:trPr>
          <w:trHeight w:val="306"/>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+10.1.4.5</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Fifth Amendment to Employment Agreement, dated as of February 25, 2013, by and between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Limited and John Strzemp.</w:t>
            </w:r>
          </w:p>
        </w:tc>
      </w:tr>
      <w:tr>
        <w:trPr>
          <w:trHeight w:val="306"/>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+10.1.4.6</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Sixth Amendment to Employment Agreement, dated as of September 10, 2013, by and between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Limited and John Strzemp.</w:t>
            </w:r>
          </w:p>
        </w:tc>
      </w:tr>
      <w:tr>
        <w:trPr>
          <w:trHeight w:val="279"/>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+10.1.5.0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Employment Agreement, dated as of November 7, 2013, by and between Wynn Resorts, Limited and</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Stephen Cootey.</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+10.1.5.1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 Amendment to Employment Agreement, dated as of January 6, 2014, by and between Wynn Resorts,</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and Stephen Cootey.</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+10.1.5.2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Second Amendment to Employment Agreement, dated as of February 24, 2015, by and between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Limited and Stephen Cootey.</w:t>
            </w:r>
          </w:p>
        </w:tc>
      </w:tr>
      <w:tr>
        <w:trPr>
          <w:trHeight w:val="270"/>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+10.2.0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2014 Omnibus Incentive Plan effective May 16, 2014.</w:t>
            </w:r>
          </w:p>
        </w:tc>
      </w:tr>
      <w:tr>
        <w:trPr>
          <w:trHeight w:val="270"/>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+10.2.1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2014 Omnibus Incentive Plan, dated January 1, 2017.</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10.3.1.0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Stockholder Agreement, dated January 6, 2010, by and among Stephen A.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Elaine P. Wynn and Aruze USA, Inc.</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10.3.1.1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and Consent, dated November 24, 2010, by and among Aruze USA, Inc., Stephen A. Wynn and</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Elaine P. Wynn.</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10.3.1.2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and Consent, dated December 15, 2010, by and among Aruze USA, Inc., Stephen A. Wynn and</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Elaine P. Wynn.</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10.3.2.0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Shareholders Agreement, dated as of September 16, 2004, by and among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(Macau), Ltd., Wong Chi Seng and Wynn Resorts (Macau), S.A.</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10.4.1.0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Concession Contract for the Operation of Games of Chance or Other Games in Casinos in the Macau</w:t>
            </w:r>
          </w:p>
        </w:tc>
      </w:tr>
      <w:tr>
        <w:trPr>
          <w:trHeight w:val="216"/>
        </w:trPr>
        <w:tc>
          <w:tcPr>
            <w:tcW w:w="86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 Administrative Region, dated June 24, 2002, between the Macau Special Administrative Region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Wynn Resorts (Macau), S.A. (English translation of Portuguese version of Concession Agreement).</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10.4.1.1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Concession Contract for Operating Casino Gaming or Other Forms of Gaming in the Macao Special</w:t>
            </w:r>
          </w:p>
        </w:tc>
      </w:tr>
      <w:tr>
        <w:trPr>
          <w:trHeight w:val="216"/>
        </w:trPr>
        <w:tc>
          <w:tcPr>
            <w:tcW w:w="86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Administrative Region, dated June 24, 2002, between the Macau Special Administrative Region and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(Macau), S.A. (English translation of Chinese version of Concession Agreement).</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10.4.1.2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Unofficial English translation of Land Concession Contract between the Macau Special Administrative</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Region and Wynn Resorts (Macau), S.A.</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10.4.1.3</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Land Concession Contract, published on May 2, 2012, by and among Palo Real Estate Company Limited,</w:t>
            </w:r>
          </w:p>
        </w:tc>
      </w:tr>
      <w:tr>
        <w:trPr>
          <w:trHeight w:val="216"/>
        </w:trPr>
        <w:tc>
          <w:tcPr>
            <w:tcW w:w="86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Resorts (Macau), S.A. and the Macau Special Administrative Region of the People's Republic of</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 (translated to English from traditional Chinese and Portuguese).</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10.5.1.0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Surname Rights Agreement, dated as of August 6, 2004, by and between Stephen A. Wynn and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Holdings, LLC.</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10.5.1.1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of Publicity License, dated as of August 6, 2004, by and between Stephen A. Wynn and Wynn</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Resorts Holdings, LLC.</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10.5.1.2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Trademark Assignment, dated as of August 6, 2004, by and between Stephen A. Wynn and Wynn Resorts</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Holdings, LLC.</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10.5.2.0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 License Agreement, dated as of December 14, 2004, by and among Wynn Resorts</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Holdings, Wynn Resorts, Limited and Wynn Las Vegas, LLC.</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10.5.2.1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 License Agreement, dated as of September 19, 2009, by and among Wynn Resorts</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Holdings, LLC, Wynn Resorts, Limited and Wynn Macau, Limited.</w:t>
            </w:r>
          </w:p>
        </w:tc>
      </w:tr>
      <w:tr>
        <w:trPr>
          <w:trHeight w:val="252"/>
        </w:trPr>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10.5.2.2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Amended and Restated Intellectual Property License Agreement, dated as of September 19, 2009, by and</w:t>
            </w:r>
          </w:p>
        </w:tc>
      </w:tr>
      <w:tr>
        <w:trPr>
          <w:trHeight w:val="234"/>
        </w:trPr>
        <w:tc>
          <w:tcPr>
            <w:tcW w:w="860" w:type="dxa"/>
            <w:vAlign w:val="bottom"/>
          </w:tcPr>
          <w:p>
            <w:pPr>
              <w:spacing w:after="0"/>
              <w:rPr>
                <w:sz w:val="20"/>
                <w:szCs w:val="20"/>
                <w:color w:val="auto"/>
              </w:rPr>
            </w:pP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among Wynn Resorts Holdings, LLC, Wynn Resorts, Limited and Wynn Resorts (Macau), S.A.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54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54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54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54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54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2/28/2014</w:t>
            </w:r>
          </w:p>
        </w:tc>
      </w:tr>
      <w:tr>
        <w:trPr>
          <w:trHeight w:val="54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8/8/2014</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8/8/2014</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S-8</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5/20/2014</w:t>
            </w:r>
          </w:p>
        </w:tc>
      </w:tr>
      <w:tr>
        <w:trPr>
          <w:trHeight w:val="27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1/6/2010</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11/26/2010</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12/15/2010</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11/4/2004</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8/20/2002</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9/18/2002</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8/3/2004</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5/2/2012</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11/4/2004</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11/4/2004</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11/4/2004</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3/15/2005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bl>
    <w:p>
      <w:pPr>
        <w:spacing w:after="0" w:line="416" w:lineRule="exact"/>
        <w:rPr>
          <w:sz w:val="20"/>
          <w:szCs w:val="20"/>
          <w:color w:val="auto"/>
        </w:rPr>
      </w:pPr>
    </w:p>
    <w:p>
      <w:pPr>
        <w:sectPr>
          <w:pgSz w:w="11900" w:h="16838" w:orient="portrait"/>
          <w:cols w:equalWidth="0" w:num="2">
            <w:col w:w="8900" w:space="480"/>
            <w:col w:w="1820"/>
          </w:cols>
          <w:pgMar w:left="240" w:top="118" w:right="459" w:bottom="1440" w:gutter="0" w:footer="0" w:header="0"/>
        </w:sectPr>
      </w:pPr>
    </w:p>
    <w:p>
      <w:pPr>
        <w:spacing w:after="0" w:line="5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200"/>
          </w:cols>
          <w:pgMar w:left="240" w:top="118" w:right="459" w:bottom="1440" w:gutter="0" w:footer="0" w:header="0"/>
          <w:type w:val="continuous"/>
        </w:sectPr>
      </w:pPr>
    </w:p>
    <w:bookmarkStart w:id="121" w:name="page122"/>
    <w:bookmarkEnd w:id="1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440" w:hanging="960"/>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10.5.2.3</w:t>
      </w:r>
      <w:r>
        <w:rPr>
          <w:sz w:val="20"/>
          <w:szCs w:val="20"/>
          <w:color w:val="auto"/>
        </w:rPr>
        <w:tab/>
      </w:r>
      <w:r>
        <w:rPr>
          <w:rFonts w:ascii="Times New Roman" w:cs="Times New Roman" w:eastAsia="Times New Roman" w:hAnsi="Times New Roman"/>
          <w:sz w:val="18"/>
          <w:szCs w:val="18"/>
          <w:color w:val="auto"/>
        </w:rPr>
        <w:t>2015 Intellectual Property License Agreement, dated as of February 26, 2015, by and between Wynn Resorts Holdings, LLC, Wynn Resorts, Limited and Wynn Las Vegas, LLC.</w:t>
      </w:r>
    </w:p>
    <w:p>
      <w:pPr>
        <w:spacing w:after="0" w:line="2" w:lineRule="exact"/>
        <w:rPr>
          <w:sz w:val="20"/>
          <w:szCs w:val="20"/>
          <w:color w:val="auto"/>
        </w:rPr>
      </w:pPr>
    </w:p>
    <w:p>
      <w:pPr>
        <w:ind w:left="1200" w:right="340" w:hanging="960"/>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10.5.2.4</w:t>
      </w:r>
      <w:r>
        <w:rPr>
          <w:sz w:val="20"/>
          <w:szCs w:val="20"/>
          <w:color w:val="auto"/>
        </w:rPr>
        <w:tab/>
      </w:r>
      <w:r>
        <w:rPr>
          <w:rFonts w:ascii="Times New Roman" w:cs="Times New Roman" w:eastAsia="Times New Roman" w:hAnsi="Times New Roman"/>
          <w:sz w:val="18"/>
          <w:szCs w:val="18"/>
          <w:color w:val="auto"/>
        </w:rPr>
        <w:t>2014 Intellectual Property License Agreement, dated as of November 20, 2014, by and between Wynn Resorts Holdings, LLC, Wynn Resorts, Limited and Wynn MA, LLC.</w:t>
      </w:r>
    </w:p>
    <w:p>
      <w:pPr>
        <w:spacing w:after="0" w:line="2" w:lineRule="exact"/>
        <w:rPr>
          <w:sz w:val="20"/>
          <w:szCs w:val="20"/>
          <w:color w:val="auto"/>
        </w:rPr>
      </w:pPr>
    </w:p>
    <w:p>
      <w:pPr>
        <w:ind w:left="1200" w:right="60" w:hanging="960"/>
        <w:spacing w:after="0" w:line="258" w:lineRule="auto"/>
        <w:tabs>
          <w:tab w:leader="none" w:pos="1180" w:val="left"/>
        </w:tabs>
        <w:rPr>
          <w:sz w:val="20"/>
          <w:szCs w:val="20"/>
          <w:color w:val="auto"/>
        </w:rPr>
      </w:pPr>
      <w:r>
        <w:rPr>
          <w:rFonts w:ascii="Times New Roman" w:cs="Times New Roman" w:eastAsia="Times New Roman" w:hAnsi="Times New Roman"/>
          <w:sz w:val="18"/>
          <w:szCs w:val="18"/>
          <w:color w:val="auto"/>
        </w:rPr>
        <w:t>10.6.1.0</w:t>
      </w:r>
      <w:r>
        <w:rPr>
          <w:sz w:val="20"/>
          <w:szCs w:val="20"/>
          <w:color w:val="auto"/>
        </w:rPr>
        <w:tab/>
      </w:r>
      <w:r>
        <w:rPr>
          <w:rFonts w:ascii="Times New Roman" w:cs="Times New Roman" w:eastAsia="Times New Roman" w:hAnsi="Times New Roman"/>
          <w:sz w:val="18"/>
          <w:szCs w:val="18"/>
          <w:color w:val="auto"/>
        </w:rPr>
        <w:t>Common Terms Agreement, dated as of September 14, 2004, by and among Wynn Resorts (Macau), S.A., certain financial institutions as Hotel Facility Lenders, Project Facility Lenders and Revolving Credit Facility Lenders, Deutsche Bank AG, Hong Kong Branch and Société Générale Asia Limited as Global Coordinating Lead Arrangers and Société Générale Asia Limited as Hotel Facility Agent, Project Facility Agent, Intercreditor Agent and Security Agent.</w:t>
      </w:r>
    </w:p>
    <w:p>
      <w:pPr>
        <w:spacing w:after="0" w:line="22" w:lineRule="exact"/>
        <w:rPr>
          <w:sz w:val="20"/>
          <w:szCs w:val="20"/>
          <w:color w:val="auto"/>
        </w:rPr>
      </w:pPr>
    </w:p>
    <w:p>
      <w:pPr>
        <w:ind w:left="1200" w:right="160" w:hanging="960"/>
        <w:spacing w:after="0" w:line="255" w:lineRule="auto"/>
        <w:tabs>
          <w:tab w:leader="none" w:pos="1180" w:val="left"/>
        </w:tabs>
        <w:rPr>
          <w:sz w:val="20"/>
          <w:szCs w:val="20"/>
          <w:color w:val="auto"/>
        </w:rPr>
      </w:pPr>
      <w:r>
        <w:rPr>
          <w:rFonts w:ascii="Times New Roman" w:cs="Times New Roman" w:eastAsia="Times New Roman" w:hAnsi="Times New Roman"/>
          <w:sz w:val="18"/>
          <w:szCs w:val="18"/>
          <w:color w:val="auto"/>
        </w:rPr>
        <w:t>10.6.1.1</w:t>
      </w:r>
      <w:r>
        <w:rPr>
          <w:sz w:val="20"/>
          <w:szCs w:val="20"/>
          <w:color w:val="auto"/>
        </w:rPr>
        <w:tab/>
      </w:r>
      <w:r>
        <w:rPr>
          <w:rFonts w:ascii="Times New Roman" w:cs="Times New Roman" w:eastAsia="Times New Roman" w:hAnsi="Times New Roman"/>
          <w:sz w:val="18"/>
          <w:szCs w:val="18"/>
          <w:color w:val="auto"/>
        </w:rPr>
        <w:t>Common Terms Agreement Amendment Agreement, dated as of September 14, 2005, between Wynn Resorts (Macau), S.A. as the Company, Certain Financial Institutions as Hotel Facility Lenders, Project Facility Lenders, Revolving Credit Facility Lenders and Hedging Counterparties, Banc of America Securities Asia Limited, Deutsche Bank AG, Hong Kong Branch and Société Générale Asia Limited as Global Coordinating Lead Arrangers, Société Générale Asia Limited as Hotel Facility Agent and Project Facility Agent, Société Générale Asia Limited as Intercreditor Agent, and Société Générale, Hong Kong Branch as Security Agent.</w:t>
      </w:r>
    </w:p>
    <w:p>
      <w:pPr>
        <w:spacing w:after="0" w:line="27" w:lineRule="exact"/>
        <w:rPr>
          <w:sz w:val="20"/>
          <w:szCs w:val="20"/>
          <w:color w:val="auto"/>
        </w:rPr>
      </w:pPr>
    </w:p>
    <w:p>
      <w:pPr>
        <w:ind w:left="1200" w:right="80" w:hanging="960"/>
        <w:spacing w:after="0" w:line="255" w:lineRule="auto"/>
        <w:tabs>
          <w:tab w:leader="none" w:pos="1180" w:val="left"/>
        </w:tabs>
        <w:rPr>
          <w:sz w:val="20"/>
          <w:szCs w:val="20"/>
          <w:color w:val="auto"/>
        </w:rPr>
      </w:pPr>
      <w:r>
        <w:rPr>
          <w:rFonts w:ascii="Times New Roman" w:cs="Times New Roman" w:eastAsia="Times New Roman" w:hAnsi="Times New Roman"/>
          <w:sz w:val="18"/>
          <w:szCs w:val="18"/>
          <w:color w:val="auto"/>
        </w:rPr>
        <w:t>10.6.1.2</w:t>
      </w:r>
      <w:r>
        <w:rPr>
          <w:sz w:val="20"/>
          <w:szCs w:val="20"/>
          <w:color w:val="auto"/>
        </w:rPr>
        <w:tab/>
      </w:r>
      <w:r>
        <w:rPr>
          <w:rFonts w:ascii="Times New Roman" w:cs="Times New Roman" w:eastAsia="Times New Roman" w:hAnsi="Times New Roman"/>
          <w:sz w:val="18"/>
          <w:szCs w:val="18"/>
          <w:color w:val="auto"/>
        </w:rPr>
        <w:t>Common Terms Agreement Second Amendment Agreement, dated June 27, 2007, by and among Wynn Resorts (Macau), S.A., certain financial institutions as Hotel Facility Lenders, Project Facility Lenders, and Revolving Credit Facility Lenders and Hedging Counterparties, Banc of America Securities Asia Limited, Deutsche Bank A.G. Hong Kong Branch, and Société Générale Asia Limited as Global Lead Arrangers and Société Générale Asia Limited as Hotel Facility Agent and Project Facility Agent, Société Générale Hong Kong Branch as Revolving Credit Facility Agent, Société Générale Hong Kong Branch as Intercreditor Agent, and Société Générale Hong Kong Branch as Security Agent.</w:t>
      </w:r>
    </w:p>
    <w:p>
      <w:pPr>
        <w:spacing w:after="0" w:line="27" w:lineRule="exact"/>
        <w:rPr>
          <w:sz w:val="20"/>
          <w:szCs w:val="20"/>
          <w:color w:val="auto"/>
        </w:rPr>
      </w:pPr>
    </w:p>
    <w:p>
      <w:pPr>
        <w:ind w:left="1200" w:right="4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10.6.1.3</w:t>
      </w:r>
      <w:r>
        <w:rPr>
          <w:sz w:val="20"/>
          <w:szCs w:val="20"/>
          <w:color w:val="auto"/>
        </w:rPr>
        <w:tab/>
      </w:r>
      <w:r>
        <w:rPr>
          <w:rFonts w:ascii="Times New Roman" w:cs="Times New Roman" w:eastAsia="Times New Roman" w:hAnsi="Times New Roman"/>
          <w:sz w:val="18"/>
          <w:szCs w:val="18"/>
          <w:color w:val="auto"/>
        </w:rPr>
        <w:t>Common Terms Agreement Third Amendment Agreement, dated September 8, 2009, between, among others, Wynn Resorts (Macau), S.A. as the company and Société Générale, Hong Kong Branch as security agent.</w:t>
      </w:r>
    </w:p>
    <w:p>
      <w:pPr>
        <w:spacing w:after="0" w:line="14" w:lineRule="exact"/>
        <w:rPr>
          <w:sz w:val="20"/>
          <w:szCs w:val="20"/>
          <w:color w:val="auto"/>
        </w:rPr>
      </w:pPr>
    </w:p>
    <w:p>
      <w:pPr>
        <w:ind w:left="120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10.6.1.4</w:t>
      </w:r>
      <w:r>
        <w:rPr>
          <w:sz w:val="20"/>
          <w:szCs w:val="20"/>
          <w:color w:val="auto"/>
        </w:rPr>
        <w:tab/>
      </w:r>
      <w:r>
        <w:rPr>
          <w:rFonts w:ascii="Times New Roman" w:cs="Times New Roman" w:eastAsia="Times New Roman" w:hAnsi="Times New Roman"/>
          <w:sz w:val="18"/>
          <w:szCs w:val="18"/>
          <w:color w:val="auto"/>
        </w:rPr>
        <w:t>Common Terms Agreement Fourth Amendment Agreement, dated as of July 31, 2012, between, among others, Wynn Resorts (Macau), S.A. as the company and Bank of China Limited Macau Branch as security agent.</w:t>
      </w:r>
    </w:p>
    <w:p>
      <w:pPr>
        <w:spacing w:after="0" w:line="14" w:lineRule="exact"/>
        <w:rPr>
          <w:sz w:val="20"/>
          <w:szCs w:val="20"/>
          <w:color w:val="auto"/>
        </w:rPr>
      </w:pPr>
    </w:p>
    <w:p>
      <w:pPr>
        <w:ind w:left="120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10.6.1.5</w:t>
      </w:r>
      <w:r>
        <w:rPr>
          <w:sz w:val="20"/>
          <w:szCs w:val="20"/>
          <w:color w:val="auto"/>
        </w:rPr>
        <w:tab/>
      </w:r>
      <w:r>
        <w:rPr>
          <w:rFonts w:ascii="Times New Roman" w:cs="Times New Roman" w:eastAsia="Times New Roman" w:hAnsi="Times New Roman"/>
          <w:sz w:val="18"/>
          <w:szCs w:val="18"/>
          <w:color w:val="auto"/>
        </w:rPr>
        <w:t>Common Terms Agreement Fifth Amendment Agreement, dated September 30, 2015, between, among others, Wynn Resorts (Macau), S.A. as the company and Bank of China Limited Macau Branch as security agent.</w:t>
      </w:r>
    </w:p>
    <w:p>
      <w:pPr>
        <w:spacing w:after="0" w:line="14" w:lineRule="exact"/>
        <w:rPr>
          <w:sz w:val="20"/>
          <w:szCs w:val="20"/>
          <w:color w:val="auto"/>
        </w:rPr>
      </w:pPr>
    </w:p>
    <w:p>
      <w:pPr>
        <w:ind w:left="1200" w:right="22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10.6.2.0</w:t>
      </w:r>
      <w:r>
        <w:rPr>
          <w:sz w:val="20"/>
          <w:szCs w:val="20"/>
          <w:color w:val="auto"/>
        </w:rPr>
        <w:tab/>
      </w:r>
      <w:r>
        <w:rPr>
          <w:rFonts w:ascii="Times New Roman" w:cs="Times New Roman" w:eastAsia="Times New Roman" w:hAnsi="Times New Roman"/>
          <w:sz w:val="18"/>
          <w:szCs w:val="18"/>
          <w:color w:val="auto"/>
        </w:rPr>
        <w:t>Hotel Facility Agreement, dated as of September 14, 2004, by and among Wynn Resorts (Macau), S.A., Société Générale Asia Limited as Hotel Facility Agent and the several Hotel Facility Lenders named therein.</w:t>
      </w:r>
    </w:p>
    <w:p>
      <w:pPr>
        <w:spacing w:after="0" w:line="14" w:lineRule="exact"/>
        <w:rPr>
          <w:sz w:val="20"/>
          <w:szCs w:val="20"/>
          <w:color w:val="auto"/>
        </w:rPr>
      </w:pPr>
    </w:p>
    <w:p>
      <w:pPr>
        <w:ind w:left="1200" w:right="26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10.6.2.1</w:t>
      </w:r>
      <w:r>
        <w:rPr>
          <w:sz w:val="20"/>
          <w:szCs w:val="20"/>
          <w:color w:val="auto"/>
        </w:rPr>
        <w:tab/>
      </w:r>
      <w:r>
        <w:rPr>
          <w:rFonts w:ascii="Times New Roman" w:cs="Times New Roman" w:eastAsia="Times New Roman" w:hAnsi="Times New Roman"/>
          <w:sz w:val="18"/>
          <w:szCs w:val="18"/>
          <w:color w:val="auto"/>
        </w:rPr>
        <w:t>Hotel Facility Agreement Amendment Agreement, dated as of September 14, 2005, between Wynn Resorts (Macau), S.A. as Company, Société Générale Asia Limited, as Hotel Facility Agent and certain financial institutions as Hotel Facility Lenders.</w:t>
      </w:r>
    </w:p>
    <w:p>
      <w:pPr>
        <w:spacing w:after="0" w:line="14" w:lineRule="exact"/>
        <w:rPr>
          <w:sz w:val="20"/>
          <w:szCs w:val="20"/>
          <w:color w:val="auto"/>
        </w:rPr>
      </w:pPr>
    </w:p>
    <w:p>
      <w:pPr>
        <w:ind w:left="1200" w:right="40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10.6.2.2</w:t>
      </w:r>
      <w:r>
        <w:rPr>
          <w:sz w:val="20"/>
          <w:szCs w:val="20"/>
          <w:color w:val="auto"/>
        </w:rPr>
        <w:tab/>
      </w:r>
      <w:r>
        <w:rPr>
          <w:rFonts w:ascii="Times New Roman" w:cs="Times New Roman" w:eastAsia="Times New Roman" w:hAnsi="Times New Roman"/>
          <w:sz w:val="18"/>
          <w:szCs w:val="18"/>
          <w:color w:val="auto"/>
        </w:rPr>
        <w:t>Hotel Facility Agreement Second Amendment Agreement, dated June 27, 2007, by and among Wynn Resorts (Macau), S.A., Société Générale Asia Limited as Hotel Facility Agent, and certain financial institutions as Hotel Facility Lenders.</w:t>
      </w:r>
    </w:p>
    <w:p>
      <w:pPr>
        <w:spacing w:after="0" w:line="14" w:lineRule="exact"/>
        <w:rPr>
          <w:sz w:val="20"/>
          <w:szCs w:val="20"/>
          <w:color w:val="auto"/>
        </w:rPr>
      </w:pPr>
    </w:p>
    <w:p>
      <w:pPr>
        <w:ind w:left="1200" w:right="16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10.6.2.3</w:t>
      </w:r>
      <w:r>
        <w:rPr>
          <w:sz w:val="20"/>
          <w:szCs w:val="20"/>
          <w:color w:val="auto"/>
        </w:rPr>
        <w:tab/>
      </w:r>
      <w:r>
        <w:rPr>
          <w:rFonts w:ascii="Times New Roman" w:cs="Times New Roman" w:eastAsia="Times New Roman" w:hAnsi="Times New Roman"/>
          <w:sz w:val="18"/>
          <w:szCs w:val="18"/>
          <w:color w:val="auto"/>
        </w:rPr>
        <w:t>Hotel Facility Agreement Third Amendment Agreement, dated July 31, 2012, by and among Wynn Resorts, (Macau), S.A., Bank of China Limited Macau Branch, and certain financial institutions as Hotel Facility Lenders.</w:t>
      </w:r>
    </w:p>
    <w:p>
      <w:pPr>
        <w:spacing w:after="0" w:line="14" w:lineRule="exact"/>
        <w:rPr>
          <w:sz w:val="20"/>
          <w:szCs w:val="20"/>
          <w:color w:val="auto"/>
        </w:rPr>
      </w:pPr>
    </w:p>
    <w:p>
      <w:pPr>
        <w:ind w:left="120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10.6.2.4</w:t>
      </w:r>
      <w:r>
        <w:rPr>
          <w:sz w:val="20"/>
          <w:szCs w:val="20"/>
          <w:color w:val="auto"/>
        </w:rPr>
        <w:tab/>
      </w:r>
      <w:r>
        <w:rPr>
          <w:rFonts w:ascii="Times New Roman" w:cs="Times New Roman" w:eastAsia="Times New Roman" w:hAnsi="Times New Roman"/>
          <w:sz w:val="18"/>
          <w:szCs w:val="18"/>
          <w:color w:val="auto"/>
        </w:rPr>
        <w:t>Hotel Facility Agreement Fourth Amendment Agreement, dated September 30, 2015, by and among Wynn Resorts (Macau), S.A. and Bank of China Limited Macau Branch as Hotel Facility Agent and Hotel Facility Lender.</w:t>
      </w:r>
    </w:p>
    <w:p>
      <w:pPr>
        <w:spacing w:after="0" w:line="14" w:lineRule="exact"/>
        <w:rPr>
          <w:sz w:val="20"/>
          <w:szCs w:val="20"/>
          <w:color w:val="auto"/>
        </w:rPr>
      </w:pPr>
    </w:p>
    <w:p>
      <w:pPr>
        <w:ind w:left="1200" w:right="12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10.6.3.0</w:t>
      </w:r>
      <w:r>
        <w:rPr>
          <w:sz w:val="20"/>
          <w:szCs w:val="20"/>
          <w:color w:val="auto"/>
        </w:rPr>
        <w:tab/>
      </w:r>
      <w:r>
        <w:rPr>
          <w:rFonts w:ascii="Times New Roman" w:cs="Times New Roman" w:eastAsia="Times New Roman" w:hAnsi="Times New Roman"/>
          <w:sz w:val="18"/>
          <w:szCs w:val="18"/>
          <w:color w:val="auto"/>
        </w:rPr>
        <w:t>Project Facility Agreement, dated as of September 14, 2004, by and among Wynn Resorts (Macau), S.A., Société Générale Asia Limited as Project Facility Agent and the several Project Facility Lenders named therein.</w:t>
      </w:r>
    </w:p>
    <w:p>
      <w:pPr>
        <w:spacing w:after="0" w:line="14" w:lineRule="exact"/>
        <w:rPr>
          <w:sz w:val="20"/>
          <w:szCs w:val="20"/>
          <w:color w:val="auto"/>
        </w:rPr>
      </w:pPr>
    </w:p>
    <w:p>
      <w:pPr>
        <w:ind w:left="1200" w:right="16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10.6.3.1</w:t>
      </w:r>
      <w:r>
        <w:rPr>
          <w:sz w:val="20"/>
          <w:szCs w:val="20"/>
          <w:color w:val="auto"/>
        </w:rPr>
        <w:tab/>
      </w:r>
      <w:r>
        <w:rPr>
          <w:rFonts w:ascii="Times New Roman" w:cs="Times New Roman" w:eastAsia="Times New Roman" w:hAnsi="Times New Roman"/>
          <w:sz w:val="18"/>
          <w:szCs w:val="18"/>
          <w:color w:val="auto"/>
        </w:rPr>
        <w:t>Project Facility Agreement Amendment Agreement, dated as of September 14, 2005, between Wynn Resorts (Macau), S.A. as Company, Societe Generale Asia Limited, as Project Facility Agent and certain financial institutions as Project Facility Lenders.</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5/8/2015</w:t>
            </w: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2/29/2016</w:t>
            </w: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11/4/2004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11/8/2005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8/9/2007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7"/>
          <w:szCs w:val="17"/>
          <w:color w:val="auto"/>
        </w:rPr>
        <w:t>3/1/2010</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11/9/2012</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11/6/2015</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11/8/2005</w:t>
      </w:r>
    </w:p>
    <w:p>
      <w:pPr>
        <w:spacing w:after="0" w:line="200" w:lineRule="exact"/>
        <w:rPr>
          <w:sz w:val="20"/>
          <w:szCs w:val="20"/>
          <w:color w:val="auto"/>
        </w:rPr>
      </w:pPr>
    </w:p>
    <w:p>
      <w:pPr>
        <w:spacing w:after="0" w:line="29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8/9/2007</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11/9/2012</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11/6/2015</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11/8/2005</w:t>
      </w:r>
    </w:p>
    <w:p>
      <w:pPr>
        <w:sectPr>
          <w:pgSz w:w="11900" w:h="16838" w:orient="portrait"/>
          <w:cols w:equalWidth="0" w:num="2">
            <w:col w:w="8900" w:space="480"/>
            <w:col w:w="1780"/>
          </w:cols>
          <w:pgMar w:left="240" w:top="118" w:right="499" w:bottom="1440" w:gutter="0" w:footer="0" w:header="0"/>
        </w:sectPr>
      </w:pPr>
    </w:p>
    <w:bookmarkStart w:id="122" w:name="page123"/>
    <w:bookmarkEnd w:id="1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32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10.6.3.2</w:t>
      </w:r>
      <w:r>
        <w:rPr>
          <w:sz w:val="20"/>
          <w:szCs w:val="20"/>
          <w:color w:val="auto"/>
        </w:rPr>
        <w:tab/>
      </w:r>
      <w:r>
        <w:rPr>
          <w:rFonts w:ascii="Times New Roman" w:cs="Times New Roman" w:eastAsia="Times New Roman" w:hAnsi="Times New Roman"/>
          <w:sz w:val="18"/>
          <w:szCs w:val="18"/>
          <w:color w:val="auto"/>
        </w:rPr>
        <w:t>Project Facility Agreement, Second Amendment Agreement, dated as of June 27, 2007, by and among Wynn Resorts (Macau), S.A., Société Générale Asia Limited as Project Facility Agent, and certain financial institutions as Project Facility Lenders.</w:t>
      </w:r>
    </w:p>
    <w:p>
      <w:pPr>
        <w:spacing w:after="0" w:line="14" w:lineRule="exact"/>
        <w:rPr>
          <w:sz w:val="20"/>
          <w:szCs w:val="20"/>
          <w:color w:val="auto"/>
        </w:rPr>
      </w:pPr>
    </w:p>
    <w:p>
      <w:pPr>
        <w:ind w:left="1200" w:right="500" w:hanging="960"/>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10.6.4.0</w:t>
      </w:r>
      <w:r>
        <w:rPr>
          <w:sz w:val="20"/>
          <w:szCs w:val="20"/>
          <w:color w:val="auto"/>
        </w:rPr>
        <w:tab/>
      </w:r>
      <w:r>
        <w:rPr>
          <w:rFonts w:ascii="Times New Roman" w:cs="Times New Roman" w:eastAsia="Times New Roman" w:hAnsi="Times New Roman"/>
          <w:sz w:val="18"/>
          <w:szCs w:val="18"/>
          <w:color w:val="auto"/>
        </w:rPr>
        <w:t>Revolving Credit Facility Agreement, dated as of September 14, 2004, by and among Wynn Resorts (Macau), S.A. and the several Revolving Credit Facility Lenders named therein.</w:t>
      </w:r>
    </w:p>
    <w:p>
      <w:pPr>
        <w:spacing w:after="0" w:line="2" w:lineRule="exact"/>
        <w:rPr>
          <w:sz w:val="20"/>
          <w:szCs w:val="20"/>
          <w:color w:val="auto"/>
        </w:rPr>
      </w:pPr>
    </w:p>
    <w:p>
      <w:pPr>
        <w:jc w:val="both"/>
        <w:ind w:left="1200" w:right="20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10.6.4.1</w:t>
      </w:r>
      <w:r>
        <w:rPr>
          <w:sz w:val="20"/>
          <w:szCs w:val="20"/>
          <w:color w:val="auto"/>
        </w:rPr>
        <w:tab/>
      </w:r>
      <w:r>
        <w:rPr>
          <w:rFonts w:ascii="Times New Roman" w:cs="Times New Roman" w:eastAsia="Times New Roman" w:hAnsi="Times New Roman"/>
          <w:sz w:val="18"/>
          <w:szCs w:val="18"/>
          <w:color w:val="auto"/>
        </w:rPr>
        <w:t>Revolving Credit Facility Agreement Amendment Agreement, dated as of September 14, 2005, between Wynn Resorts (Macau), S.A. as Company and certain financial institutions as Revolving Credit Facility Lenders.</w:t>
      </w:r>
    </w:p>
    <w:p>
      <w:pPr>
        <w:spacing w:after="0" w:line="14" w:lineRule="exact"/>
        <w:rPr>
          <w:sz w:val="20"/>
          <w:szCs w:val="20"/>
          <w:color w:val="auto"/>
        </w:rPr>
      </w:pPr>
    </w:p>
    <w:p>
      <w:pPr>
        <w:ind w:left="120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10.6.4.2</w:t>
      </w:r>
      <w:r>
        <w:rPr>
          <w:sz w:val="20"/>
          <w:szCs w:val="20"/>
          <w:color w:val="auto"/>
        </w:rPr>
        <w:tab/>
      </w:r>
      <w:r>
        <w:rPr>
          <w:rFonts w:ascii="Times New Roman" w:cs="Times New Roman" w:eastAsia="Times New Roman" w:hAnsi="Times New Roman"/>
          <w:sz w:val="18"/>
          <w:szCs w:val="18"/>
          <w:color w:val="auto"/>
        </w:rPr>
        <w:t>Revolving Credit Facility Second Amendment Agreement, dated as of June 27, 2007, by and among Wynn Resorts (Macau), S.A. and Societe Generale, Hong Kong Branch as Revolving Credit Facility Agent and certain financial institutions as revolving credit facility lenders.</w:t>
      </w:r>
    </w:p>
    <w:p>
      <w:pPr>
        <w:spacing w:after="0" w:line="14" w:lineRule="exact"/>
        <w:rPr>
          <w:sz w:val="20"/>
          <w:szCs w:val="20"/>
          <w:color w:val="auto"/>
        </w:rPr>
      </w:pPr>
    </w:p>
    <w:p>
      <w:pPr>
        <w:ind w:left="1200" w:right="26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10.6.4.3</w:t>
      </w:r>
      <w:r>
        <w:rPr>
          <w:sz w:val="20"/>
          <w:szCs w:val="20"/>
          <w:color w:val="auto"/>
        </w:rPr>
        <w:tab/>
      </w:r>
      <w:r>
        <w:rPr>
          <w:rFonts w:ascii="Times New Roman" w:cs="Times New Roman" w:eastAsia="Times New Roman" w:hAnsi="Times New Roman"/>
          <w:sz w:val="18"/>
          <w:szCs w:val="18"/>
          <w:color w:val="auto"/>
        </w:rPr>
        <w:t>Revolving Credit Facility Agreement, dated as of July 31, 2012, by and among Wynn Resorts (Macau), S.A., Bank of China, Limited Macau Branch, and several Revolving Credit Facility Lenders named therein.</w:t>
      </w:r>
    </w:p>
    <w:p>
      <w:pPr>
        <w:spacing w:after="0" w:line="14" w:lineRule="exact"/>
        <w:rPr>
          <w:sz w:val="20"/>
          <w:szCs w:val="20"/>
          <w:color w:val="auto"/>
        </w:rPr>
      </w:pPr>
    </w:p>
    <w:p>
      <w:pPr>
        <w:ind w:left="1200" w:right="30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10.6.4.4</w:t>
      </w:r>
      <w:r>
        <w:rPr>
          <w:sz w:val="20"/>
          <w:szCs w:val="20"/>
          <w:color w:val="auto"/>
        </w:rPr>
        <w:tab/>
      </w:r>
      <w:r>
        <w:rPr>
          <w:rFonts w:ascii="Times New Roman" w:cs="Times New Roman" w:eastAsia="Times New Roman" w:hAnsi="Times New Roman"/>
          <w:sz w:val="18"/>
          <w:szCs w:val="18"/>
          <w:color w:val="auto"/>
        </w:rPr>
        <w:t>Revolving Credit Facility Agreement Amendment Agreement, dated as of September 30, 2015, by and among Wynn Resorts (Macau), S.A. and Bank of China Limited Macau Branch as Revolving Credit Facility Agent and Revolving Credit Facility Lender.</w:t>
      </w:r>
    </w:p>
    <w:p>
      <w:pPr>
        <w:spacing w:after="0" w:line="14" w:lineRule="exact"/>
        <w:rPr>
          <w:sz w:val="20"/>
          <w:szCs w:val="20"/>
          <w:color w:val="auto"/>
        </w:rPr>
      </w:pPr>
    </w:p>
    <w:p>
      <w:pPr>
        <w:ind w:left="1200" w:right="40" w:hanging="960"/>
        <w:spacing w:after="0" w:line="258" w:lineRule="auto"/>
        <w:tabs>
          <w:tab w:leader="none" w:pos="1180" w:val="left"/>
        </w:tabs>
        <w:rPr>
          <w:sz w:val="20"/>
          <w:szCs w:val="20"/>
          <w:color w:val="auto"/>
        </w:rPr>
      </w:pPr>
      <w:r>
        <w:rPr>
          <w:rFonts w:ascii="Times New Roman" w:cs="Times New Roman" w:eastAsia="Times New Roman" w:hAnsi="Times New Roman"/>
          <w:sz w:val="18"/>
          <w:szCs w:val="18"/>
          <w:color w:val="auto"/>
        </w:rPr>
        <w:t>10.6.5.0</w:t>
      </w:r>
      <w:r>
        <w:rPr>
          <w:sz w:val="20"/>
          <w:szCs w:val="20"/>
          <w:color w:val="auto"/>
        </w:rPr>
        <w:tab/>
      </w:r>
      <w:r>
        <w:rPr>
          <w:rFonts w:ascii="Times New Roman" w:cs="Times New Roman" w:eastAsia="Times New Roman" w:hAnsi="Times New Roman"/>
          <w:sz w:val="18"/>
          <w:szCs w:val="18"/>
          <w:color w:val="auto"/>
        </w:rPr>
        <w:t>Deed of Appointment and Priority, dated as of September 14, 2004, among Wynn Resorts (Macau), S.A., certain financial institutions as Original First Ranking Lenders, Banco Nacional Ultramarino, S.A. as Second Ranking Finance Party, Wynn Group Asia, Inc. as Third Ranking Finance Party, Société Générale, Hong Kong Branch as Security Agent, Société Générale Asia Limited as Intercreditor Agent and Hotel Facility Agent and Project Facility Agent, and others.</w:t>
      </w:r>
    </w:p>
    <w:p>
      <w:pPr>
        <w:spacing w:after="0" w:line="22" w:lineRule="exact"/>
        <w:rPr>
          <w:sz w:val="20"/>
          <w:szCs w:val="20"/>
          <w:color w:val="auto"/>
        </w:rPr>
      </w:pPr>
    </w:p>
    <w:p>
      <w:pPr>
        <w:ind w:left="1200" w:right="140" w:hanging="960"/>
        <w:spacing w:after="0" w:line="256" w:lineRule="auto"/>
        <w:tabs>
          <w:tab w:leader="none" w:pos="1180" w:val="left"/>
        </w:tabs>
        <w:rPr>
          <w:sz w:val="20"/>
          <w:szCs w:val="20"/>
          <w:color w:val="auto"/>
        </w:rPr>
      </w:pPr>
      <w:r>
        <w:rPr>
          <w:rFonts w:ascii="Times New Roman" w:cs="Times New Roman" w:eastAsia="Times New Roman" w:hAnsi="Times New Roman"/>
          <w:sz w:val="18"/>
          <w:szCs w:val="18"/>
          <w:color w:val="auto"/>
        </w:rPr>
        <w:t>10.6.5.1</w:t>
      </w:r>
      <w:r>
        <w:rPr>
          <w:sz w:val="20"/>
          <w:szCs w:val="20"/>
          <w:color w:val="auto"/>
        </w:rPr>
        <w:tab/>
      </w:r>
      <w:r>
        <w:rPr>
          <w:rFonts w:ascii="Times New Roman" w:cs="Times New Roman" w:eastAsia="Times New Roman" w:hAnsi="Times New Roman"/>
          <w:sz w:val="18"/>
          <w:szCs w:val="18"/>
          <w:color w:val="auto"/>
        </w:rPr>
        <w:t>Deed of Appointment and Priority Deed of Amendment, dated as of September 14, 2005, between Wynn Resorts (Macau), S.A., certain financial institutions as Original First Ranking Lenders, Certain Financial Institutions as Original Hedging Counterparties, Banco Nacional Ultramarino, S.A. as Second Ranking Finance Party, Wynn Group Asia, Inc. as Third Ranking Finance Party, Société Générale Asia Limited as Security Agent, Société Générale Asia Limited as Intercreditor Agent, Société Générale Asia Limited as Hotel Facility Agent and Project Facility Agent, and others.</w:t>
      </w:r>
    </w:p>
    <w:p>
      <w:pPr>
        <w:spacing w:after="0" w:line="26" w:lineRule="exact"/>
        <w:rPr>
          <w:sz w:val="20"/>
          <w:szCs w:val="20"/>
          <w:color w:val="auto"/>
        </w:rPr>
      </w:pPr>
    </w:p>
    <w:p>
      <w:pPr>
        <w:ind w:left="1200" w:right="120" w:hanging="893"/>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10.6.6</w:t>
      </w:r>
      <w:r>
        <w:rPr>
          <w:sz w:val="20"/>
          <w:szCs w:val="20"/>
          <w:color w:val="auto"/>
        </w:rPr>
        <w:tab/>
      </w:r>
      <w:r>
        <w:rPr>
          <w:rFonts w:ascii="Times New Roman" w:cs="Times New Roman" w:eastAsia="Times New Roman" w:hAnsi="Times New Roman"/>
          <w:sz w:val="18"/>
          <w:szCs w:val="18"/>
          <w:color w:val="auto"/>
        </w:rPr>
        <w:t>Floating Charge (unofficial English Translation), dated as of September 14, 2004, between Wynn Resorts (Macau), S.A. and Société Générale, Hong Kong Branch as the Security Agent.</w:t>
      </w:r>
    </w:p>
    <w:p>
      <w:pPr>
        <w:spacing w:after="0" w:line="2" w:lineRule="exact"/>
        <w:rPr>
          <w:sz w:val="20"/>
          <w:szCs w:val="20"/>
          <w:color w:val="auto"/>
        </w:rPr>
      </w:pPr>
    </w:p>
    <w:p>
      <w:pPr>
        <w:ind w:left="1200" w:right="160" w:hanging="893"/>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10.6.7</w:t>
      </w:r>
      <w:r>
        <w:rPr>
          <w:sz w:val="20"/>
          <w:szCs w:val="20"/>
          <w:color w:val="auto"/>
        </w:rPr>
        <w:tab/>
      </w:r>
      <w:r>
        <w:rPr>
          <w:rFonts w:ascii="Times New Roman" w:cs="Times New Roman" w:eastAsia="Times New Roman" w:hAnsi="Times New Roman"/>
          <w:sz w:val="18"/>
          <w:szCs w:val="18"/>
          <w:color w:val="auto"/>
        </w:rPr>
        <w:t>Debenture, dated as of September 14, 2004, between Wynn Resorts (Macau), S.A. and Société Générale, Hong Kong Branch as the Security Agent.</w:t>
      </w:r>
    </w:p>
    <w:p>
      <w:pPr>
        <w:spacing w:after="0" w:line="2" w:lineRule="exact"/>
        <w:rPr>
          <w:sz w:val="20"/>
          <w:szCs w:val="20"/>
          <w:color w:val="auto"/>
        </w:rPr>
      </w:pPr>
    </w:p>
    <w:p>
      <w:pPr>
        <w:ind w:left="1200" w:right="420" w:hanging="960"/>
        <w:spacing w:after="0" w:line="298" w:lineRule="auto"/>
        <w:tabs>
          <w:tab w:leader="none" w:pos="1180" w:val="left"/>
        </w:tabs>
        <w:rPr>
          <w:sz w:val="20"/>
          <w:szCs w:val="20"/>
          <w:color w:val="auto"/>
        </w:rPr>
      </w:pPr>
      <w:r>
        <w:rPr>
          <w:rFonts w:ascii="Times New Roman" w:cs="Times New Roman" w:eastAsia="Times New Roman" w:hAnsi="Times New Roman"/>
          <w:sz w:val="18"/>
          <w:szCs w:val="18"/>
          <w:color w:val="auto"/>
        </w:rPr>
        <w:t>10.6.8.0</w:t>
      </w:r>
      <w:r>
        <w:rPr>
          <w:sz w:val="20"/>
          <w:szCs w:val="20"/>
          <w:color w:val="auto"/>
        </w:rPr>
        <w:tab/>
      </w:r>
      <w:r>
        <w:rPr>
          <w:rFonts w:ascii="Times New Roman" w:cs="Times New Roman" w:eastAsia="Times New Roman" w:hAnsi="Times New Roman"/>
          <w:sz w:val="17"/>
          <w:szCs w:val="17"/>
          <w:color w:val="auto"/>
        </w:rPr>
        <w:t>Wynn Resorts Support Agreement, dated as of September 14, 2004, between Wynn Resorts, Limited, Wynn Resorts (Macau), S.A. and Société Générale, Hong Kong Branch as the Security Agent.</w:t>
      </w:r>
    </w:p>
    <w:p>
      <w:pPr>
        <w:spacing w:after="0" w:line="1" w:lineRule="exact"/>
        <w:rPr>
          <w:sz w:val="20"/>
          <w:szCs w:val="20"/>
          <w:color w:val="auto"/>
        </w:rPr>
      </w:pPr>
    </w:p>
    <w:p>
      <w:pPr>
        <w:jc w:val="both"/>
        <w:ind w:left="1200" w:right="160" w:hanging="960"/>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10.6.8.1</w:t>
      </w:r>
      <w:r>
        <w:rPr>
          <w:sz w:val="20"/>
          <w:szCs w:val="20"/>
          <w:color w:val="auto"/>
        </w:rPr>
        <w:tab/>
      </w:r>
      <w:r>
        <w:rPr>
          <w:rFonts w:ascii="Times New Roman" w:cs="Times New Roman" w:eastAsia="Times New Roman" w:hAnsi="Times New Roman"/>
          <w:sz w:val="18"/>
          <w:szCs w:val="18"/>
          <w:color w:val="auto"/>
        </w:rPr>
        <w:t>Wynn Resorts Support Agreement Deed of Amendment, dated as of September 14, 2005, between Wynn Resorts, Limited, Wynn Resorts (Macau), S.A. and Société Générale, Hong Kong Branch as the Security Agent.</w:t>
      </w:r>
    </w:p>
    <w:p>
      <w:pPr>
        <w:spacing w:after="0" w:line="14" w:lineRule="exact"/>
        <w:rPr>
          <w:sz w:val="20"/>
          <w:szCs w:val="20"/>
          <w:color w:val="auto"/>
        </w:rPr>
      </w:pPr>
    </w:p>
    <w:p>
      <w:pPr>
        <w:ind w:left="1200" w:right="32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10.6.9</w:t>
      </w:r>
      <w:r>
        <w:rPr>
          <w:sz w:val="20"/>
          <w:szCs w:val="20"/>
          <w:color w:val="auto"/>
        </w:rPr>
        <w:tab/>
      </w:r>
      <w:r>
        <w:rPr>
          <w:rFonts w:ascii="Times New Roman" w:cs="Times New Roman" w:eastAsia="Times New Roman" w:hAnsi="Times New Roman"/>
          <w:sz w:val="18"/>
          <w:szCs w:val="18"/>
          <w:color w:val="auto"/>
        </w:rPr>
        <w:t>Wynn Pledgors' Guarantee, dated as of September 14, 2004, between Wynn Group Asia, Inc., Wynn Resorts International, Ltd., Wynn Resorts (Macau) Holdings, Ltd., and Wynn Resorts (Macau), Ltd. as Guarantors; and Société Générale, Hong Kong Branch as the Security Agent.</w:t>
      </w:r>
    </w:p>
    <w:p>
      <w:pPr>
        <w:spacing w:after="0" w:line="14" w:lineRule="exact"/>
        <w:rPr>
          <w:sz w:val="20"/>
          <w:szCs w:val="20"/>
          <w:color w:val="auto"/>
        </w:rPr>
      </w:pPr>
    </w:p>
    <w:p>
      <w:pPr>
        <w:ind w:left="1200" w:right="400" w:hanging="938"/>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10.6.10</w:t>
      </w:r>
      <w:r>
        <w:rPr>
          <w:sz w:val="20"/>
          <w:szCs w:val="20"/>
          <w:color w:val="auto"/>
        </w:rPr>
        <w:tab/>
      </w:r>
      <w:r>
        <w:rPr>
          <w:rFonts w:ascii="Times New Roman" w:cs="Times New Roman" w:eastAsia="Times New Roman" w:hAnsi="Times New Roman"/>
          <w:sz w:val="18"/>
          <w:szCs w:val="18"/>
          <w:color w:val="auto"/>
        </w:rPr>
        <w:t>Bank Guarantee Reimbursement Agreement, dated as of September 14, 2004, between Wynn Resorts (Macau), S.A. and Banco Nacional Ultramarino.</w:t>
      </w:r>
    </w:p>
    <w:p>
      <w:pPr>
        <w:spacing w:after="0" w:line="1" w:lineRule="exact"/>
        <w:rPr>
          <w:sz w:val="20"/>
          <w:szCs w:val="20"/>
          <w:color w:val="auto"/>
        </w:rPr>
      </w:pPr>
    </w:p>
    <w:p>
      <w:pPr>
        <w:ind w:left="1200" w:right="300" w:hanging="934"/>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10.6.11</w:t>
      </w:r>
      <w:r>
        <w:rPr>
          <w:sz w:val="20"/>
          <w:szCs w:val="20"/>
          <w:color w:val="auto"/>
        </w:rPr>
        <w:tab/>
      </w:r>
      <w:r>
        <w:rPr>
          <w:rFonts w:ascii="Times New Roman" w:cs="Times New Roman" w:eastAsia="Times New Roman" w:hAnsi="Times New Roman"/>
          <w:sz w:val="18"/>
          <w:szCs w:val="18"/>
          <w:color w:val="auto"/>
        </w:rPr>
        <w:t>Sponsors' Subordination Deed, dated as of September 14, 2004, between Wynn Resorts (Macau), S.A., Wynn Group Asia, Inc., Wynn Resorts International, Ltd., Wynn Resorts (Macau) Holdings, Ltd. and Wynn Resorts (Macau), Ltd. as the Wynn Companies and Société Générale, Hong Kong Branch as the Security Agent.</w:t>
      </w:r>
    </w:p>
    <w:p>
      <w:pPr>
        <w:spacing w:after="0" w:line="18" w:lineRule="exact"/>
        <w:rPr>
          <w:sz w:val="20"/>
          <w:szCs w:val="20"/>
          <w:color w:val="auto"/>
        </w:rPr>
      </w:pPr>
    </w:p>
    <w:p>
      <w:pPr>
        <w:ind w:left="1200" w:right="4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10.7.0</w:t>
      </w:r>
      <w:r>
        <w:rPr>
          <w:sz w:val="20"/>
          <w:szCs w:val="20"/>
          <w:color w:val="auto"/>
        </w:rPr>
        <w:tab/>
      </w:r>
      <w:r>
        <w:rPr>
          <w:rFonts w:ascii="Times New Roman" w:cs="Times New Roman" w:eastAsia="Times New Roman" w:hAnsi="Times New Roman"/>
          <w:sz w:val="18"/>
          <w:szCs w:val="18"/>
          <w:color w:val="auto"/>
        </w:rPr>
        <w:t>Amended and Restated Master Disbursement Agreement, dated as of October 25, 2007, by and among Wynn Las Vegas, LLC, Deutsche Bank Trust Company Americas, as the initial Bank Agent, and Deutsche Bank Trust Company Americas, as the initial Disbursement Agent.</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8/9/2007</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7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11/8/2005</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11/6/2015</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11/9/2012</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11/6/2015</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11/8/2005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7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7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7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11/8/2005</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00" w:lineRule="exact"/>
        <w:rPr>
          <w:sz w:val="20"/>
          <w:szCs w:val="20"/>
          <w:color w:val="auto"/>
        </w:rPr>
      </w:pPr>
    </w:p>
    <w:p>
      <w:pPr>
        <w:spacing w:after="0" w:line="29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7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7"/>
          <w:szCs w:val="17"/>
          <w:color w:val="auto"/>
        </w:rPr>
        <w:t>11/4/2004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7"/>
          <w:szCs w:val="17"/>
          <w:color w:val="auto"/>
        </w:rPr>
        <w:t>10/31/2007</w:t>
      </w:r>
    </w:p>
    <w:p>
      <w:pPr>
        <w:sectPr>
          <w:pgSz w:w="11900" w:h="16838" w:orient="portrait"/>
          <w:cols w:equalWidth="0" w:num="2">
            <w:col w:w="8900" w:space="480"/>
            <w:col w:w="1820"/>
          </w:cols>
          <w:pgMar w:left="240" w:top="118" w:right="459" w:bottom="1440" w:gutter="0" w:footer="0" w:header="0"/>
        </w:sectPr>
      </w:pPr>
    </w:p>
    <w:bookmarkStart w:id="123" w:name="page124"/>
    <w:bookmarkEnd w:id="1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8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8"/>
          <w:szCs w:val="18"/>
          <w:color w:val="auto"/>
        </w:rPr>
        <w:t>First Amendment to Amended and Restated Master Disbursement Agreement, dated as of October 31, 2007, by and among Wynn Las Vegas, LLC, Deutsche Bank Trust Company Americas, as the initial Bank Agent, and Deutsche Bank Trust Company Americas, as the initial Disbursement Agent.</w:t>
      </w:r>
    </w:p>
    <w:p>
      <w:pPr>
        <w:spacing w:after="0" w:line="14" w:lineRule="exact"/>
        <w:rPr>
          <w:sz w:val="20"/>
          <w:szCs w:val="20"/>
          <w:color w:val="auto"/>
        </w:rPr>
      </w:pPr>
    </w:p>
    <w:p>
      <w:pPr>
        <w:jc w:val="both"/>
        <w:ind w:left="120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10.7.2</w:t>
      </w:r>
      <w:r>
        <w:rPr>
          <w:sz w:val="20"/>
          <w:szCs w:val="20"/>
          <w:color w:val="auto"/>
        </w:rPr>
        <w:tab/>
      </w:r>
      <w:r>
        <w:rPr>
          <w:rFonts w:ascii="Times New Roman" w:cs="Times New Roman" w:eastAsia="Times New Roman" w:hAnsi="Times New Roman"/>
          <w:sz w:val="18"/>
          <w:szCs w:val="18"/>
          <w:color w:val="auto"/>
        </w:rPr>
        <w:t>Second Amendment to Amended and Restated Master Disbursement Agreement, dated as of November 6, 2007, by and among Wynn Las Vegas, LLC, Deutsche Bank Trust Company Americas, as the Bank Agent, and Deutsche Bank Trust Company Americas, as the Disbursement Agent.</w:t>
      </w:r>
    </w:p>
    <w:p>
      <w:pPr>
        <w:spacing w:after="0" w:line="14" w:lineRule="exact"/>
        <w:rPr>
          <w:sz w:val="20"/>
          <w:szCs w:val="20"/>
          <w:color w:val="auto"/>
        </w:rPr>
      </w:pPr>
    </w:p>
    <w:p>
      <w:pPr>
        <w:ind w:left="120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10.7.3</w:t>
      </w:r>
      <w:r>
        <w:rPr>
          <w:sz w:val="20"/>
          <w:szCs w:val="20"/>
          <w:color w:val="auto"/>
        </w:rPr>
        <w:tab/>
      </w:r>
      <w:r>
        <w:rPr>
          <w:rFonts w:ascii="Times New Roman" w:cs="Times New Roman" w:eastAsia="Times New Roman" w:hAnsi="Times New Roman"/>
          <w:sz w:val="18"/>
          <w:szCs w:val="18"/>
          <w:color w:val="auto"/>
        </w:rPr>
        <w:t>Third Amendment to Amended and Restated Master Disbursement Agreement, dated as of October 19, 2009, by and among Wynn Las Vegas, LLC, Deutsche Bank Trust Company Americas, as the Bank Agent, and Deutsche Bank Trust Company Americas, as the Disbursement Agent.</w:t>
      </w:r>
    </w:p>
    <w:p>
      <w:pPr>
        <w:spacing w:after="0" w:line="14" w:lineRule="exact"/>
        <w:rPr>
          <w:sz w:val="20"/>
          <w:szCs w:val="20"/>
          <w:color w:val="auto"/>
        </w:rPr>
      </w:pPr>
    </w:p>
    <w:p>
      <w:pPr>
        <w:ind w:left="120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10.7.4</w:t>
      </w:r>
      <w:r>
        <w:rPr>
          <w:sz w:val="20"/>
          <w:szCs w:val="20"/>
          <w:color w:val="auto"/>
        </w:rPr>
        <w:tab/>
      </w:r>
      <w:r>
        <w:rPr>
          <w:rFonts w:ascii="Times New Roman" w:cs="Times New Roman" w:eastAsia="Times New Roman" w:hAnsi="Times New Roman"/>
          <w:sz w:val="18"/>
          <w:szCs w:val="18"/>
          <w:color w:val="auto"/>
        </w:rPr>
        <w:t>Fourth Amendment to Amended and Restated Master Disbursement Agreement, dated as of April 28, 2010, by and among Wynn Las Vegas, LLC, Deutsche Bank Trust Company Americas, as the Bank Agent, and Deutsche Bank Trust Company Americas, as the Disbursement Agent.</w:t>
      </w:r>
    </w:p>
    <w:p>
      <w:pPr>
        <w:spacing w:after="0" w:line="14" w:lineRule="exact"/>
        <w:rPr>
          <w:sz w:val="20"/>
          <w:szCs w:val="20"/>
          <w:color w:val="auto"/>
        </w:rPr>
      </w:pPr>
    </w:p>
    <w:p>
      <w:pPr>
        <w:ind w:left="120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10.7.5</w:t>
      </w:r>
      <w:r>
        <w:rPr>
          <w:sz w:val="20"/>
          <w:szCs w:val="20"/>
          <w:color w:val="auto"/>
        </w:rPr>
        <w:tab/>
      </w:r>
      <w:r>
        <w:rPr>
          <w:rFonts w:ascii="Times New Roman" w:cs="Times New Roman" w:eastAsia="Times New Roman" w:hAnsi="Times New Roman"/>
          <w:sz w:val="18"/>
          <w:szCs w:val="18"/>
          <w:color w:val="auto"/>
        </w:rPr>
        <w:t>Fifth Amendment to the Amended and Restated Master Disbursement Agreement, dated as of August 4, 2010, by and among Wynn Las Vegas, LLC, Deutsche Bank Trust Company Americas, as the Bank Agent, and Deutsche Bank Trust Company Americas, as the Disbursement Agent.</w:t>
      </w:r>
    </w:p>
    <w:p>
      <w:pPr>
        <w:spacing w:after="0" w:line="14" w:lineRule="exact"/>
        <w:rPr>
          <w:sz w:val="20"/>
          <w:szCs w:val="20"/>
          <w:color w:val="auto"/>
        </w:rPr>
      </w:pPr>
    </w:p>
    <w:p>
      <w:pPr>
        <w:ind w:left="1200" w:hanging="893"/>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10.7.6</w:t>
      </w:r>
      <w:r>
        <w:rPr>
          <w:sz w:val="20"/>
          <w:szCs w:val="20"/>
          <w:color w:val="auto"/>
        </w:rPr>
        <w:tab/>
      </w:r>
      <w:r>
        <w:rPr>
          <w:rFonts w:ascii="Times New Roman" w:cs="Times New Roman" w:eastAsia="Times New Roman" w:hAnsi="Times New Roman"/>
          <w:sz w:val="18"/>
          <w:szCs w:val="18"/>
          <w:color w:val="auto"/>
        </w:rPr>
        <w:t>Sixth Amendment to Amended and Restated Master Disbursement Agreement, dated as of March 12, 2012, by and among Wynn Las Vegas, LLC, Deutsche Bank Trust Company Americas, as the Bank Agent, and Deutsche Bank Trust Company Americas, as the Disbursement Agent.</w:t>
      </w:r>
    </w:p>
    <w:p>
      <w:pPr>
        <w:spacing w:after="0" w:line="14" w:lineRule="exact"/>
        <w:rPr>
          <w:sz w:val="20"/>
          <w:szCs w:val="20"/>
          <w:color w:val="auto"/>
        </w:rPr>
      </w:pPr>
    </w:p>
    <w:p>
      <w:pPr>
        <w:ind w:left="1200" w:right="80" w:hanging="893"/>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10.8.1</w:t>
      </w:r>
      <w:r>
        <w:rPr>
          <w:sz w:val="20"/>
          <w:szCs w:val="20"/>
          <w:color w:val="auto"/>
        </w:rPr>
        <w:tab/>
      </w:r>
      <w:r>
        <w:rPr>
          <w:rFonts w:ascii="Times New Roman" w:cs="Times New Roman" w:eastAsia="Times New Roman" w:hAnsi="Times New Roman"/>
          <w:sz w:val="18"/>
          <w:szCs w:val="18"/>
          <w:color w:val="auto"/>
        </w:rPr>
        <w:t>2013 Second Amended and Restated Agreement of Lease, dated as of November 7, 2013, by and between Wynn Las Vegas, LLC and Stephen A. Wynn.</w:t>
      </w:r>
    </w:p>
    <w:p>
      <w:pPr>
        <w:spacing w:after="0" w:line="2" w:lineRule="exact"/>
        <w:rPr>
          <w:sz w:val="20"/>
          <w:szCs w:val="20"/>
          <w:color w:val="auto"/>
        </w:rPr>
      </w:pPr>
    </w:p>
    <w:p>
      <w:pPr>
        <w:ind w:left="300"/>
        <w:spacing w:after="0"/>
        <w:tabs>
          <w:tab w:leader="none" w:pos="1180" w:val="left"/>
        </w:tabs>
        <w:rPr>
          <w:sz w:val="20"/>
          <w:szCs w:val="20"/>
          <w:color w:val="auto"/>
        </w:rPr>
      </w:pPr>
      <w:r>
        <w:rPr>
          <w:rFonts w:ascii="Times New Roman" w:cs="Times New Roman" w:eastAsia="Times New Roman" w:hAnsi="Times New Roman"/>
          <w:sz w:val="18"/>
          <w:szCs w:val="18"/>
          <w:color w:val="auto"/>
        </w:rPr>
        <w:t>10.8.2</w:t>
      </w:r>
      <w:r>
        <w:rPr>
          <w:sz w:val="20"/>
          <w:szCs w:val="20"/>
          <w:color w:val="auto"/>
        </w:rPr>
        <w:tab/>
      </w:r>
      <w:r>
        <w:rPr>
          <w:rFonts w:ascii="Times New Roman" w:cs="Times New Roman" w:eastAsia="Times New Roman" w:hAnsi="Times New Roman"/>
          <w:sz w:val="17"/>
          <w:szCs w:val="17"/>
          <w:color w:val="auto"/>
        </w:rPr>
        <w:t>First Amendment to 2013 Second Amended and Restated Agreement of Lease, dated as of February 25,</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2015, by and between Wynn Las Vegas, LLC and Stephen A. Wynn.</w:t>
      </w:r>
    </w:p>
    <w:p>
      <w:pPr>
        <w:spacing w:after="0" w:line="45" w:lineRule="exact"/>
        <w:rPr>
          <w:sz w:val="20"/>
          <w:szCs w:val="20"/>
          <w:color w:val="auto"/>
        </w:rPr>
      </w:pPr>
    </w:p>
    <w:p>
      <w:pPr>
        <w:ind w:left="1200" w:right="160" w:hanging="893"/>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10.8.3</w:t>
      </w:r>
      <w:r>
        <w:rPr>
          <w:sz w:val="20"/>
          <w:szCs w:val="20"/>
          <w:color w:val="auto"/>
        </w:rPr>
        <w:tab/>
      </w:r>
      <w:r>
        <w:rPr>
          <w:rFonts w:ascii="Times New Roman" w:cs="Times New Roman" w:eastAsia="Times New Roman" w:hAnsi="Times New Roman"/>
          <w:sz w:val="18"/>
          <w:szCs w:val="18"/>
          <w:color w:val="auto"/>
        </w:rPr>
        <w:t>Third Amended and Restated Agreement of Lease, dated as of December 1, 2016, by and between Wynn Las Vegas, LLC and Stephen A. Wynn.</w:t>
      </w:r>
    </w:p>
    <w:p>
      <w:pPr>
        <w:spacing w:after="0" w:line="2" w:lineRule="exact"/>
        <w:rPr>
          <w:sz w:val="20"/>
          <w:szCs w:val="20"/>
          <w:color w:val="auto"/>
        </w:rPr>
      </w:pPr>
    </w:p>
    <w:p>
      <w:pPr>
        <w:ind w:left="1200" w:right="420" w:hanging="893"/>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10.8.4</w:t>
      </w:r>
      <w:r>
        <w:rPr>
          <w:sz w:val="20"/>
          <w:szCs w:val="20"/>
          <w:color w:val="auto"/>
        </w:rPr>
        <w:tab/>
      </w:r>
      <w:r>
        <w:rPr>
          <w:rFonts w:ascii="Times New Roman" w:cs="Times New Roman" w:eastAsia="Times New Roman" w:hAnsi="Times New Roman"/>
          <w:sz w:val="18"/>
          <w:szCs w:val="18"/>
          <w:color w:val="auto"/>
        </w:rPr>
        <w:t>Sixth Amended and Restated Art Rental and Licensing Agreement, dated as of July 1, 2012, between Stephen A. Wynn, as lessor, Wynn Las Vegas, LLC, as lessee.</w:t>
      </w:r>
    </w:p>
    <w:p>
      <w:pPr>
        <w:spacing w:after="0" w:line="2" w:lineRule="exact"/>
        <w:rPr>
          <w:sz w:val="20"/>
          <w:szCs w:val="20"/>
          <w:color w:val="auto"/>
        </w:rPr>
      </w:pPr>
    </w:p>
    <w:p>
      <w:pPr>
        <w:ind w:left="1200" w:right="180" w:hanging="960"/>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10.9.1.0</w:t>
      </w:r>
      <w:r>
        <w:rPr>
          <w:sz w:val="20"/>
          <w:szCs w:val="20"/>
          <w:color w:val="auto"/>
        </w:rPr>
        <w:tab/>
      </w:r>
      <w:r>
        <w:rPr>
          <w:rFonts w:ascii="Times New Roman" w:cs="Times New Roman" w:eastAsia="Times New Roman" w:hAnsi="Times New Roman"/>
          <w:sz w:val="18"/>
          <w:szCs w:val="18"/>
          <w:color w:val="auto"/>
        </w:rPr>
        <w:t>Aircraft Time Sharing Agreement, dated as of January 15, 2015, by and between Wynn Resorts, Limited and Stephen A. Wynn.</w:t>
      </w:r>
    </w:p>
    <w:p>
      <w:pPr>
        <w:spacing w:after="0" w:line="2" w:lineRule="exact"/>
        <w:rPr>
          <w:sz w:val="20"/>
          <w:szCs w:val="20"/>
          <w:color w:val="auto"/>
        </w:rPr>
      </w:pPr>
    </w:p>
    <w:p>
      <w:pPr>
        <w:ind w:left="1200" w:right="280" w:hanging="960"/>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10.9.2.0</w:t>
      </w:r>
      <w:r>
        <w:rPr>
          <w:sz w:val="20"/>
          <w:szCs w:val="20"/>
          <w:color w:val="auto"/>
        </w:rPr>
        <w:tab/>
      </w:r>
      <w:r>
        <w:rPr>
          <w:rFonts w:ascii="Times New Roman" w:cs="Times New Roman" w:eastAsia="Times New Roman" w:hAnsi="Times New Roman"/>
          <w:sz w:val="18"/>
          <w:szCs w:val="18"/>
          <w:color w:val="auto"/>
        </w:rPr>
        <w:t>Aircraft Purchase Option Agreement, dated as of January 3, 2013, between Wynn Resorts, Limited and Stephen A. Wynn.</w:t>
      </w:r>
    </w:p>
    <w:p>
      <w:pPr>
        <w:spacing w:after="0" w:line="2" w:lineRule="exact"/>
        <w:rPr>
          <w:sz w:val="20"/>
          <w:szCs w:val="20"/>
          <w:color w:val="auto"/>
        </w:rPr>
      </w:pPr>
    </w:p>
    <w:p>
      <w:pPr>
        <w:ind w:left="260"/>
        <w:spacing w:after="0"/>
        <w:tabs>
          <w:tab w:leader="none" w:pos="1180" w:val="left"/>
        </w:tabs>
        <w:rPr>
          <w:sz w:val="20"/>
          <w:szCs w:val="20"/>
          <w:color w:val="auto"/>
        </w:rPr>
      </w:pPr>
      <w:r>
        <w:rPr>
          <w:rFonts w:ascii="Times New Roman" w:cs="Times New Roman" w:eastAsia="Times New Roman" w:hAnsi="Times New Roman"/>
          <w:sz w:val="18"/>
          <w:szCs w:val="18"/>
          <w:color w:val="auto"/>
        </w:rPr>
        <w:t>10.10.0</w:t>
      </w:r>
      <w:r>
        <w:rPr>
          <w:sz w:val="20"/>
          <w:szCs w:val="20"/>
          <w:color w:val="auto"/>
        </w:rPr>
        <w:tab/>
      </w:r>
      <w:r>
        <w:rPr>
          <w:rFonts w:ascii="Times New Roman" w:cs="Times New Roman" w:eastAsia="Times New Roman" w:hAnsi="Times New Roman"/>
          <w:sz w:val="17"/>
          <w:szCs w:val="17"/>
          <w:color w:val="auto"/>
        </w:rPr>
        <w:t>Form of Indemnity Agreement.</w:t>
      </w:r>
    </w:p>
    <w:p>
      <w:pPr>
        <w:spacing w:after="0" w:line="63" w:lineRule="exact"/>
        <w:rPr>
          <w:sz w:val="20"/>
          <w:szCs w:val="20"/>
          <w:color w:val="auto"/>
        </w:rPr>
      </w:pPr>
    </w:p>
    <w:p>
      <w:pPr>
        <w:ind w:left="1200" w:right="260" w:hanging="934"/>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10.11.0</w:t>
      </w:r>
      <w:r>
        <w:rPr>
          <w:sz w:val="20"/>
          <w:szCs w:val="20"/>
          <w:color w:val="auto"/>
        </w:rPr>
        <w:tab/>
      </w:r>
      <w:r>
        <w:rPr>
          <w:rFonts w:ascii="Times New Roman" w:cs="Times New Roman" w:eastAsia="Times New Roman" w:hAnsi="Times New Roman"/>
          <w:sz w:val="18"/>
          <w:szCs w:val="18"/>
          <w:color w:val="auto"/>
        </w:rPr>
        <w:t>Corporate Allocation Agreement, dated as of September 19, 2009, by Wynn Macau, Limited and Wynn Resorts, Limited.</w:t>
      </w:r>
    </w:p>
    <w:p>
      <w:pPr>
        <w:spacing w:after="0" w:line="2" w:lineRule="exact"/>
        <w:rPr>
          <w:sz w:val="20"/>
          <w:szCs w:val="20"/>
          <w:color w:val="auto"/>
        </w:rPr>
      </w:pPr>
    </w:p>
    <w:p>
      <w:pPr>
        <w:ind w:left="1200" w:right="520" w:hanging="934"/>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10.11.1</w:t>
      </w:r>
      <w:r>
        <w:rPr>
          <w:sz w:val="20"/>
          <w:szCs w:val="20"/>
          <w:color w:val="auto"/>
        </w:rPr>
        <w:tab/>
      </w:r>
      <w:r>
        <w:rPr>
          <w:rFonts w:ascii="Times New Roman" w:cs="Times New Roman" w:eastAsia="Times New Roman" w:hAnsi="Times New Roman"/>
          <w:sz w:val="18"/>
          <w:szCs w:val="18"/>
          <w:color w:val="auto"/>
        </w:rPr>
        <w:t>Amended and Restated Corporate Allocation Agreement, dated as of September 19, 2009, by Wynn Resorts (Macau), S.A., and Wynn Resorts, Limited.</w:t>
      </w:r>
    </w:p>
    <w:p>
      <w:pPr>
        <w:spacing w:after="0" w:line="2" w:lineRule="exact"/>
        <w:rPr>
          <w:sz w:val="20"/>
          <w:szCs w:val="20"/>
          <w:color w:val="auto"/>
        </w:rPr>
      </w:pPr>
    </w:p>
    <w:p>
      <w:pPr>
        <w:ind w:left="1200" w:right="280" w:hanging="934"/>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10.11.2</w:t>
      </w:r>
      <w:r>
        <w:rPr>
          <w:sz w:val="20"/>
          <w:szCs w:val="20"/>
          <w:color w:val="auto"/>
        </w:rPr>
        <w:tab/>
      </w:r>
      <w:r>
        <w:rPr>
          <w:rFonts w:ascii="Times New Roman" w:cs="Times New Roman" w:eastAsia="Times New Roman" w:hAnsi="Times New Roman"/>
          <w:sz w:val="18"/>
          <w:szCs w:val="18"/>
          <w:color w:val="auto"/>
        </w:rPr>
        <w:t>Management Fee and Corporate Allocation Agreement, dated as of February 26, 2015, by and between Wynn Las Vegas, LLC and Wynn Resorts, Limited.</w:t>
      </w:r>
    </w:p>
    <w:p>
      <w:pPr>
        <w:spacing w:after="0" w:line="2" w:lineRule="exact"/>
        <w:rPr>
          <w:sz w:val="20"/>
          <w:szCs w:val="20"/>
          <w:color w:val="auto"/>
        </w:rPr>
      </w:pPr>
    </w:p>
    <w:p>
      <w:pPr>
        <w:ind w:left="1200" w:right="280" w:hanging="934"/>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10.11.3</w:t>
      </w:r>
      <w:r>
        <w:rPr>
          <w:sz w:val="20"/>
          <w:szCs w:val="20"/>
          <w:color w:val="auto"/>
        </w:rPr>
        <w:tab/>
      </w:r>
      <w:r>
        <w:rPr>
          <w:rFonts w:ascii="Times New Roman" w:cs="Times New Roman" w:eastAsia="Times New Roman" w:hAnsi="Times New Roman"/>
          <w:sz w:val="18"/>
          <w:szCs w:val="18"/>
          <w:color w:val="auto"/>
        </w:rPr>
        <w:t>Management Fee and Corporate Allocation Agreement, dated as of November 20, 2014, by and among Wynn MA, LLC and Wynn Resorts, Limited.</w:t>
      </w:r>
    </w:p>
    <w:p>
      <w:pPr>
        <w:spacing w:after="0" w:line="2" w:lineRule="exact"/>
        <w:rPr>
          <w:sz w:val="20"/>
          <w:szCs w:val="20"/>
          <w:color w:val="auto"/>
        </w:rPr>
      </w:pPr>
    </w:p>
    <w:p>
      <w:pPr>
        <w:ind w:left="260"/>
        <w:spacing w:after="0"/>
        <w:tabs>
          <w:tab w:leader="none" w:pos="1180" w:val="left"/>
        </w:tabs>
        <w:rPr>
          <w:sz w:val="20"/>
          <w:szCs w:val="20"/>
          <w:color w:val="auto"/>
        </w:rPr>
      </w:pPr>
      <w:r>
        <w:rPr>
          <w:rFonts w:ascii="Times New Roman" w:cs="Times New Roman" w:eastAsia="Times New Roman" w:hAnsi="Times New Roman"/>
          <w:sz w:val="18"/>
          <w:szCs w:val="18"/>
          <w:color w:val="auto"/>
        </w:rPr>
        <w:t>10.11.4</w:t>
      </w:r>
      <w:r>
        <w:rPr>
          <w:sz w:val="20"/>
          <w:szCs w:val="20"/>
          <w:color w:val="auto"/>
        </w:rPr>
        <w:tab/>
      </w:r>
      <w:r>
        <w:rPr>
          <w:rFonts w:ascii="Times New Roman" w:cs="Times New Roman" w:eastAsia="Times New Roman" w:hAnsi="Times New Roman"/>
          <w:sz w:val="17"/>
          <w:szCs w:val="17"/>
          <w:color w:val="auto"/>
        </w:rPr>
        <w:t>Promissory Note, dated as of February 18, 2012, made by Wynn Resorts, Limited to Aruze USA, Inc.</w:t>
      </w:r>
    </w:p>
    <w:p>
      <w:pPr>
        <w:spacing w:after="0" w:line="63" w:lineRule="exact"/>
        <w:rPr>
          <w:sz w:val="20"/>
          <w:szCs w:val="20"/>
          <w:color w:val="auto"/>
        </w:rPr>
      </w:pPr>
    </w:p>
    <w:p>
      <w:pPr>
        <w:ind w:left="1200" w:right="100" w:hanging="934"/>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10.11.5</w:t>
      </w:r>
      <w:r>
        <w:rPr>
          <w:sz w:val="20"/>
          <w:szCs w:val="20"/>
          <w:color w:val="auto"/>
        </w:rPr>
        <w:tab/>
      </w:r>
      <w:r>
        <w:rPr>
          <w:rFonts w:ascii="Times New Roman" w:cs="Times New Roman" w:eastAsia="Times New Roman" w:hAnsi="Times New Roman"/>
          <w:sz w:val="18"/>
          <w:szCs w:val="18"/>
          <w:color w:val="auto"/>
        </w:rPr>
        <w:t>Registration Rights Agreement, dated as of March 12, 2012, by and among Wynn Las Vegas, LLC, Wynn Las Vegas Capital Corp, Wynn Show Performers, LLC, Wynn Golf, LLC, Las Vegas Jet, LLC, World Travel, LLC, Wynn Sunrise, LLC, Kevyn, LLC, Deutsche Bank Securities Inc., Merrill Lynch, Pierce, Fenner &amp; Smith Incorporated and J.P. Morgan Securities LLC.</w:t>
      </w: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11/1/2007</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11/13/2007</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10/20/2009</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4/28/2010</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3/1/2013</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3/13/2012</w:t>
            </w:r>
          </w:p>
        </w:tc>
      </w:tr>
      <w:tr>
        <w:trPr>
          <w:trHeight w:val="702"/>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11/14/2013</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88"/>
              </w:rPr>
              <w:t>*</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11/9/2012</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3/1/2013</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9/18/2002</w:t>
            </w:r>
          </w:p>
        </w:tc>
      </w:tr>
      <w:tr>
        <w:trPr>
          <w:trHeight w:val="27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2/29/2016</w:t>
            </w:r>
          </w:p>
        </w:tc>
      </w:tr>
      <w:tr>
        <w:trPr>
          <w:trHeight w:val="486"/>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2/21/2012</w:t>
            </w:r>
          </w:p>
        </w:tc>
      </w:tr>
      <w:tr>
        <w:trPr>
          <w:trHeight w:val="270"/>
        </w:trPr>
        <w:tc>
          <w:tcPr>
            <w:tcW w:w="6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3/13/2012</w:t>
            </w:r>
          </w:p>
        </w:tc>
      </w:tr>
    </w:tbl>
    <w:p>
      <w:pPr>
        <w:sectPr>
          <w:pgSz w:w="11900" w:h="16838" w:orient="portrait"/>
          <w:cols w:equalWidth="0" w:num="2">
            <w:col w:w="8900" w:space="480"/>
            <w:col w:w="1820"/>
          </w:cols>
          <w:pgMar w:left="240" w:top="118" w:right="459" w:bottom="1440" w:gutter="0" w:footer="0" w:header="0"/>
        </w:sectPr>
      </w:pPr>
    </w:p>
    <w:bookmarkStart w:id="124" w:name="page125"/>
    <w:bookmarkEnd w:id="1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00" w:right="80" w:hanging="938"/>
        <w:spacing w:after="0" w:line="254" w:lineRule="auto"/>
        <w:tabs>
          <w:tab w:leader="none" w:pos="1180" w:val="left"/>
        </w:tabs>
        <w:rPr>
          <w:sz w:val="20"/>
          <w:szCs w:val="20"/>
          <w:color w:val="auto"/>
        </w:rPr>
      </w:pPr>
      <w:r>
        <w:rPr>
          <w:rFonts w:ascii="Times New Roman" w:cs="Times New Roman" w:eastAsia="Times New Roman" w:hAnsi="Times New Roman"/>
          <w:sz w:val="18"/>
          <w:szCs w:val="18"/>
          <w:color w:val="auto"/>
        </w:rPr>
        <w:t>10.12.0</w:t>
      </w:r>
      <w:r>
        <w:rPr>
          <w:sz w:val="20"/>
          <w:szCs w:val="20"/>
          <w:color w:val="auto"/>
        </w:rPr>
        <w:tab/>
      </w:r>
      <w:r>
        <w:rPr>
          <w:rFonts w:ascii="Times New Roman" w:cs="Times New Roman" w:eastAsia="Times New Roman" w:hAnsi="Times New Roman"/>
          <w:sz w:val="18"/>
          <w:szCs w:val="18"/>
          <w:color w:val="auto"/>
        </w:rPr>
        <w:t>Credit Agreement, dated as of November 20, 2014, by and among Wynn America, LLC, as borrower, Wynn Las Vegas Holdings, LLC, Everett Property, LLC and Wynn MA, LLC, as guarantors, Deutsche Bank AG New York Branch, as administrative agent and collateral agent,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as joint lead arrangers and joint bookrunners, Morgan Stanley Senior Funding, Inc. and Bank of China, Los Angeles Branch, as arrangers, and Merrill Lynch, Pierce, Fenner &amp; Smith Incorporated, as documentation agent, and the other lenders party thereto.</w:t>
      </w:r>
    </w:p>
    <w:p>
      <w:pPr>
        <w:spacing w:after="0" w:line="27" w:lineRule="exact"/>
        <w:rPr>
          <w:sz w:val="20"/>
          <w:szCs w:val="20"/>
          <w:color w:val="auto"/>
        </w:rPr>
      </w:pPr>
    </w:p>
    <w:p>
      <w:pPr>
        <w:ind w:left="1200" w:right="60" w:hanging="938"/>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10.12.1</w:t>
      </w:r>
      <w:r>
        <w:rPr>
          <w:sz w:val="20"/>
          <w:szCs w:val="20"/>
          <w:color w:val="auto"/>
        </w:rPr>
        <w:tab/>
      </w:r>
      <w:r>
        <w:rPr>
          <w:rFonts w:ascii="Times New Roman" w:cs="Times New Roman" w:eastAsia="Times New Roman" w:hAnsi="Times New Roman"/>
          <w:sz w:val="18"/>
          <w:szCs w:val="18"/>
          <w:color w:val="auto"/>
        </w:rPr>
        <w:t>First Amendment to Credit Agreement, dated as of November 5, 2015,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8" w:lineRule="exact"/>
        <w:rPr>
          <w:sz w:val="20"/>
          <w:szCs w:val="20"/>
          <w:color w:val="auto"/>
        </w:rPr>
      </w:pPr>
    </w:p>
    <w:p>
      <w:pPr>
        <w:ind w:left="1200" w:right="60" w:hanging="938"/>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10.12.2</w:t>
      </w:r>
      <w:r>
        <w:rPr>
          <w:sz w:val="20"/>
          <w:szCs w:val="20"/>
          <w:color w:val="auto"/>
        </w:rPr>
        <w:tab/>
      </w:r>
      <w:r>
        <w:rPr>
          <w:rFonts w:ascii="Times New Roman" w:cs="Times New Roman" w:eastAsia="Times New Roman" w:hAnsi="Times New Roman"/>
          <w:sz w:val="18"/>
          <w:szCs w:val="18"/>
          <w:color w:val="auto"/>
        </w:rPr>
        <w:t>Second Amendment to Credit Agreement, dated as of December 21, 2015,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8" w:lineRule="exact"/>
        <w:rPr>
          <w:sz w:val="20"/>
          <w:szCs w:val="20"/>
          <w:color w:val="auto"/>
        </w:rPr>
      </w:pPr>
    </w:p>
    <w:p>
      <w:pPr>
        <w:ind w:left="1200" w:hanging="938"/>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10.12.3</w:t>
      </w:r>
      <w:r>
        <w:rPr>
          <w:sz w:val="20"/>
          <w:szCs w:val="20"/>
          <w:color w:val="auto"/>
        </w:rPr>
        <w:tab/>
      </w:r>
      <w:r>
        <w:rPr>
          <w:rFonts w:ascii="Times New Roman" w:cs="Times New Roman" w:eastAsia="Times New Roman" w:hAnsi="Times New Roman"/>
          <w:sz w:val="18"/>
          <w:szCs w:val="18"/>
          <w:color w:val="auto"/>
        </w:rPr>
        <w:t>Third Amendment to Credit Agreement, dated as of June 21, 2016,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8" w:lineRule="exact"/>
        <w:rPr>
          <w:sz w:val="20"/>
          <w:szCs w:val="20"/>
          <w:color w:val="auto"/>
        </w:rPr>
      </w:pPr>
    </w:p>
    <w:p>
      <w:pPr>
        <w:ind w:left="1200" w:right="20" w:hanging="938"/>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10.12.4</w:t>
      </w:r>
      <w:r>
        <w:rPr>
          <w:sz w:val="20"/>
          <w:szCs w:val="20"/>
          <w:color w:val="auto"/>
        </w:rPr>
        <w:tab/>
      </w:r>
      <w:r>
        <w:rPr>
          <w:rFonts w:ascii="Times New Roman" w:cs="Times New Roman" w:eastAsia="Times New Roman" w:hAnsi="Times New Roman"/>
          <w:sz w:val="18"/>
          <w:szCs w:val="18"/>
          <w:color w:val="auto"/>
        </w:rPr>
        <w:t>Fourth Amendment to Credit Agreement, dated as of July 1, 2016,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8" w:lineRule="exact"/>
        <w:rPr>
          <w:sz w:val="20"/>
          <w:szCs w:val="20"/>
          <w:color w:val="auto"/>
        </w:rPr>
      </w:pPr>
    </w:p>
    <w:p>
      <w:pPr>
        <w:ind w:left="1200" w:right="520" w:hanging="938"/>
        <w:spacing w:after="0" w:line="281" w:lineRule="auto"/>
        <w:tabs>
          <w:tab w:leader="none" w:pos="1180" w:val="left"/>
        </w:tabs>
        <w:rPr>
          <w:sz w:val="20"/>
          <w:szCs w:val="20"/>
          <w:color w:val="auto"/>
        </w:rPr>
      </w:pPr>
      <w:r>
        <w:rPr>
          <w:rFonts w:ascii="Times New Roman" w:cs="Times New Roman" w:eastAsia="Times New Roman" w:hAnsi="Times New Roman"/>
          <w:sz w:val="18"/>
          <w:szCs w:val="18"/>
          <w:color w:val="auto"/>
        </w:rPr>
        <w:t>10.12.5</w:t>
      </w:r>
      <w:r>
        <w:rPr>
          <w:sz w:val="20"/>
          <w:szCs w:val="20"/>
          <w:color w:val="auto"/>
        </w:rPr>
        <w:tab/>
      </w:r>
      <w:r>
        <w:rPr>
          <w:rFonts w:ascii="Times New Roman" w:cs="Times New Roman" w:eastAsia="Times New Roman" w:hAnsi="Times New Roman"/>
          <w:sz w:val="18"/>
          <w:szCs w:val="18"/>
          <w:color w:val="auto"/>
        </w:rPr>
        <w:t>Completion Guaranty, dated as of November 20, 2014, by and between Wynn Resorts, Limited, and Deutsche Bank AG New York Branch, as administrative agent.</w:t>
      </w:r>
    </w:p>
    <w:p>
      <w:pPr>
        <w:spacing w:after="0" w:line="2" w:lineRule="exact"/>
        <w:rPr>
          <w:sz w:val="20"/>
          <w:szCs w:val="20"/>
          <w:color w:val="auto"/>
        </w:rPr>
      </w:pPr>
    </w:p>
    <w:p>
      <w:pPr>
        <w:ind w:left="1200" w:right="200" w:hanging="938"/>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10.12.6</w:t>
      </w:r>
      <w:r>
        <w:rPr>
          <w:sz w:val="20"/>
          <w:szCs w:val="20"/>
          <w:color w:val="auto"/>
        </w:rPr>
        <w:tab/>
      </w:r>
      <w:r>
        <w:rPr>
          <w:rFonts w:ascii="Times New Roman" w:cs="Times New Roman" w:eastAsia="Times New Roman" w:hAnsi="Times New Roman"/>
          <w:sz w:val="18"/>
          <w:szCs w:val="18"/>
          <w:color w:val="auto"/>
        </w:rPr>
        <w:t>Security Agreement, dated as of November 20, 2014, by and among Wynn America, LLC, Wynn Las Vegas Holdings, LLC, Everett Property, LLC and Wynn MA, LLC, as pledgors, and Deutsche Bank AG New York Branch, as collateral agent.</w:t>
      </w:r>
    </w:p>
    <w:p>
      <w:pPr>
        <w:spacing w:after="0" w:line="14"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Subsidiaries of the Registrant.</w:t>
      </w:r>
    </w:p>
    <w:p>
      <w:pPr>
        <w:spacing w:after="0" w:line="63"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Ernst &amp; Young LLP, Independent Registered Accounting Firm.</w:t>
      </w:r>
    </w:p>
    <w:p>
      <w:pPr>
        <w:spacing w:after="0" w:line="63"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Certification of Chief Executive Officer pursuant to Section 302 of the Sarbanes-Oxley Act of 2002.</w:t>
      </w:r>
    </w:p>
    <w:p>
      <w:pPr>
        <w:spacing w:after="0" w:line="63"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color w:val="auto"/>
        </w:rPr>
        <w:t>Certification of Chief Financial Officer pursuant to Section 302 of the Sarbanes-Oxley Act of 2002.</w:t>
      </w:r>
    </w:p>
    <w:p>
      <w:pPr>
        <w:spacing w:after="0" w:line="63"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Certification of CEO and CFO pursuant to 18 U.S.C. Section 1350.</w:t>
      </w:r>
    </w:p>
    <w:p>
      <w:pPr>
        <w:spacing w:after="0" w:line="63" w:lineRule="exact"/>
        <w:rPr>
          <w:sz w:val="20"/>
          <w:szCs w:val="20"/>
          <w:color w:val="auto"/>
        </w:rPr>
      </w:pPr>
    </w:p>
    <w:p>
      <w:pPr>
        <w:ind w:left="1200" w:right="60" w:hanging="807"/>
        <w:spacing w:after="0" w:line="255" w:lineRule="auto"/>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Annual Report on Form 10-K for the year ended December 31, 2015, filed with the SEC on February 24, 2017 formatted in Extensible Business Reporting Language (XBRL): (i) the Consolidated Balance Sheets as of December 31, 2016 and December 31 2015, (ii) the Consolidated Statements of Income for the years ended December 31, 2016, 2015 and 2014, (iii) the Consolidated Statements of Cash Flows for the years ended December 31, 2016, 2015 and 2014, (iv) the Consolidated Statements of Stockholders' Equity as of December 31, 2016, 2015 and 2014, (v) the Consolidated Statements of Comprehensive Income for the years ended December 31, 2016, 2015 and 2014 and (vi) Notes to Consolidated Financial Statements.</w:t>
      </w:r>
    </w:p>
    <w:p>
      <w:pPr>
        <w:spacing w:after="0" w:line="5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herein</w:t>
      </w:r>
    </w:p>
    <w:p>
      <w:pPr>
        <w:spacing w:after="0" w:line="63" w:lineRule="exact"/>
        <w:rPr>
          <w:sz w:val="20"/>
          <w:szCs w:val="20"/>
          <w:color w:val="auto"/>
        </w:rPr>
      </w:pPr>
    </w:p>
    <w:p>
      <w:pPr>
        <w:ind w:left="5580" w:right="2960" w:hanging="5572"/>
        <w:spacing w:after="0" w:line="876" w:lineRule="auto"/>
        <w:tabs>
          <w:tab w:leader="none" w:pos="98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management contract or compensatory plan or arrangement. 124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7"/>
          <w:szCs w:val="17"/>
          <w:color w:val="auto"/>
        </w:rPr>
        <w:t>3/2/2015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11/6/2015</w:t>
            </w:r>
          </w:p>
        </w:tc>
      </w:tr>
      <w:tr>
        <w:trPr>
          <w:trHeight w:val="9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2/29/2016</w:t>
            </w:r>
          </w:p>
        </w:tc>
      </w:tr>
      <w:tr>
        <w:trPr>
          <w:trHeight w:val="9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8/9/2016</w:t>
            </w:r>
          </w:p>
        </w:tc>
      </w:tr>
      <w:tr>
        <w:trPr>
          <w:trHeight w:val="9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8/9/2016</w:t>
            </w:r>
          </w:p>
        </w:tc>
      </w:tr>
      <w:tr>
        <w:trPr>
          <w:trHeight w:val="91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3/2/2015</w:t>
            </w:r>
          </w:p>
        </w:tc>
      </w:tr>
      <w:tr>
        <w:trPr>
          <w:trHeight w:val="70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88"/>
              </w:rPr>
              <w:t>*</w:t>
            </w:r>
          </w:p>
        </w:tc>
      </w:tr>
    </w:tbl>
    <w:p>
      <w:pPr>
        <w:sectPr>
          <w:pgSz w:w="11900" w:h="16838" w:orient="portrait"/>
          <w:cols w:equalWidth="0" w:num="2">
            <w:col w:w="8900" w:space="480"/>
            <w:col w:w="1780"/>
          </w:cols>
          <w:pgMar w:left="240" w:top="118" w:right="499" w:bottom="1440" w:gutter="0" w:footer="0" w:header="0"/>
        </w:sectPr>
      </w:pPr>
    </w:p>
    <w:bookmarkStart w:id="125" w:name="page126"/>
    <w:bookmarkEnd w:id="1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40"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4260" w:val="left"/>
          <w:tab w:leader="none" w:pos="4940" w:val="left"/>
        </w:tabs>
        <w:rPr>
          <w:sz w:val="20"/>
          <w:szCs w:val="20"/>
          <w:color w:val="auto"/>
        </w:rPr>
      </w:pPr>
      <w:r>
        <w:rPr>
          <w:rFonts w:ascii="Times New Roman" w:cs="Times New Roman" w:eastAsia="Times New Roman" w:hAnsi="Times New Roman"/>
          <w:sz w:val="18"/>
          <w:szCs w:val="18"/>
          <w:color w:val="auto"/>
        </w:rPr>
        <w:t>Dated: February 24,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42710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Stephen A. Wynn</w:t>
      </w:r>
    </w:p>
    <w:p>
      <w:pPr>
        <w:spacing w:after="0" w:line="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 Executive Officer)</w:t>
      </w:r>
    </w:p>
    <w:p>
      <w:pPr>
        <w:spacing w:after="0" w:line="198"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w:t>
            </w:r>
          </w:p>
        </w:tc>
        <w:tc>
          <w:tcPr>
            <w:tcW w:w="206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4"/>
                <w:szCs w:val="14"/>
                <w:color w:val="auto"/>
              </w:rPr>
              <w:t>Date</w:t>
            </w:r>
          </w:p>
        </w:tc>
      </w:tr>
      <w:tr>
        <w:trPr>
          <w:trHeight w:val="20"/>
        </w:trPr>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Chairman of the Board and Chief Executive</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34"/>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Stephen A. Wynn</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John J. Hagenbuch</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John J. Hagenbuch</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Dr. Ray R. Irani</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Dr. Ray R. Irani</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Jay L. Johnson</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Jay L. Johnson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Robert J. Miller</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Robert J. Miller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Patricia Mulroy</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Patricia Mulroy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Clark T. Randt, Jr.</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Clark T. Randt, Jr.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Alvin V. Shoemaker</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Alvin V. Shoemaker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J. Edward Virtue</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 Edward Virtue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D. Boone Wayson</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 Boone Wayson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60" w:type="dxa"/>
            <w:vAlign w:val="bottom"/>
            <w:gridSpan w:val="3"/>
          </w:tcPr>
          <w:p>
            <w:pPr>
              <w:jc w:val="center"/>
              <w:ind w:left="551"/>
              <w:spacing w:after="0"/>
              <w:rPr>
                <w:sz w:val="20"/>
                <w:szCs w:val="20"/>
                <w:color w:val="auto"/>
              </w:rPr>
            </w:pPr>
            <w:r>
              <w:rPr>
                <w:rFonts w:ascii="Times New Roman" w:cs="Times New Roman" w:eastAsia="Times New Roman" w:hAnsi="Times New Roman"/>
                <w:sz w:val="18"/>
                <w:szCs w:val="18"/>
                <w:color w:val="auto"/>
                <w:w w:val="99"/>
              </w:rPr>
              <w:t>February 24, 2017</w:t>
            </w:r>
          </w:p>
        </w:tc>
      </w:tr>
      <w:tr>
        <w:trPr>
          <w:trHeight w:val="234"/>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Stephen Cootey</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Stephen Cootey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86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160"/>
          </w:cols>
          <w:pgMar w:left="240" w:top="118" w:right="4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WYNN RESORTS,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2014 OMNIBUS INCENTIVE PLAN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6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purpose of the Wynn Resorts, Limited Amended and Restated 2014 Omnibus Incentive Plan (as it may be amended or restated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is to promote the success and enhance the value of Wynn Resorts, Limited, a Nevada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CONSTRUCTION</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8" w:lineRule="exact"/>
        <w:rPr>
          <w:sz w:val="20"/>
          <w:szCs w:val="20"/>
          <w:color w:val="auto"/>
        </w:rPr>
      </w:pPr>
    </w:p>
    <w:p>
      <w:pPr>
        <w:jc w:val="both"/>
        <w:ind w:left="180" w:firstLine="648"/>
        <w:spacing w:after="0" w:line="257"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172"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shall mean any Parent or Subsidiary.</w:t>
      </w:r>
    </w:p>
    <w:p>
      <w:pPr>
        <w:spacing w:after="0" w:line="233" w:lineRule="exact"/>
        <w:rPr>
          <w:sz w:val="20"/>
          <w:szCs w:val="20"/>
          <w:color w:val="auto"/>
        </w:rPr>
      </w:pPr>
    </w:p>
    <w:p>
      <w:pPr>
        <w:jc w:val="both"/>
        <w:ind w:left="180" w:right="20" w:firstLine="648"/>
        <w:spacing w:after="0" w:line="263" w:lineRule="auto"/>
        <w:rPr>
          <w:sz w:val="20"/>
          <w:szCs w:val="20"/>
          <w:color w:val="auto"/>
        </w:rPr>
      </w:pPr>
      <w:r>
        <w:rPr>
          <w:rFonts w:ascii="Times New Roman" w:cs="Times New Roman" w:eastAsia="Times New Roman" w:hAnsi="Times New Roman"/>
          <w:sz w:val="22"/>
          <w:szCs w:val="22"/>
          <w:color w:val="auto"/>
        </w:rPr>
        <w:t>2.3 “</w:t>
      </w:r>
      <w:r>
        <w:rPr>
          <w:rFonts w:ascii="Times New Roman" w:cs="Times New Roman" w:eastAsia="Times New Roman" w:hAnsi="Times New Roman"/>
          <w:sz w:val="22"/>
          <w:szCs w:val="22"/>
          <w:u w:val="single" w:color="auto"/>
          <w:color w:val="auto"/>
        </w:rPr>
        <w:t>Applicable Accounting Standards</w:t>
      </w:r>
      <w:r>
        <w:rPr>
          <w:rFonts w:ascii="Times New Roman" w:cs="Times New Roman" w:eastAsia="Times New Roman" w:hAnsi="Times New Roman"/>
          <w:sz w:val="22"/>
          <w:szCs w:val="22"/>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68" w:lineRule="exact"/>
        <w:rPr>
          <w:sz w:val="20"/>
          <w:szCs w:val="20"/>
          <w:color w:val="auto"/>
        </w:rPr>
      </w:pPr>
    </w:p>
    <w:p>
      <w:pPr>
        <w:jc w:val="both"/>
        <w:ind w:left="180" w:firstLine="648"/>
        <w:spacing w:after="0" w:line="257"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14" w:right="239" w:bottom="1440" w:gutter="0" w:footer="0" w:header="0"/>
        </w:sectPr>
      </w:pPr>
    </w:p>
    <w:bookmarkStart w:id="127" w:name="page128"/>
    <w:bookmarkEnd w:id="127"/>
    <w:p>
      <w:pPr>
        <w:jc w:val="both"/>
        <w:ind w:left="10" w:firstLine="648"/>
        <w:spacing w:after="0" w:line="263"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left="10" w:firstLine="648"/>
        <w:spacing w:after="0" w:line="263" w:lineRule="auto"/>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68" w:lineRule="exact"/>
        <w:rPr>
          <w:sz w:val="20"/>
          <w:szCs w:val="20"/>
          <w:color w:val="auto"/>
        </w:rPr>
      </w:pPr>
    </w:p>
    <w:p>
      <w:pPr>
        <w:jc w:val="both"/>
        <w:ind w:left="10" w:firstLine="648"/>
        <w:spacing w:after="0" w:line="284"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Award Limit</w:t>
      </w:r>
      <w:r>
        <w:rPr>
          <w:rFonts w:ascii="Times New Roman" w:cs="Times New Roman" w:eastAsia="Times New Roman" w:hAnsi="Times New Roman"/>
          <w:sz w:val="22"/>
          <w:szCs w:val="22"/>
          <w:color w:val="auto"/>
        </w:rPr>
        <w:t>” shall mean with respect to Awards that shall be payable in Shares or in cash, as the case may be, the respective limit set forth in Section 3.3.</w:t>
      </w:r>
    </w:p>
    <w:p>
      <w:pPr>
        <w:spacing w:after="0" w:line="144" w:lineRule="exact"/>
        <w:rPr>
          <w:sz w:val="20"/>
          <w:szCs w:val="20"/>
          <w:color w:val="auto"/>
        </w:rPr>
      </w:pPr>
    </w:p>
    <w:p>
      <w:pPr>
        <w:ind w:left="650"/>
        <w:spacing w:after="0"/>
        <w:tabs>
          <w:tab w:leader="none" w:pos="1069"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233" w:lineRule="exact"/>
        <w:rPr>
          <w:sz w:val="20"/>
          <w:szCs w:val="20"/>
          <w:color w:val="auto"/>
        </w:rPr>
      </w:pPr>
    </w:p>
    <w:p>
      <w:pPr>
        <w:jc w:val="both"/>
        <w:ind w:left="10" w:firstLine="648"/>
        <w:spacing w:after="0" w:line="259" w:lineRule="auto"/>
        <w:rPr>
          <w:sz w:val="20"/>
          <w:szCs w:val="20"/>
          <w:color w:val="auto"/>
        </w:rPr>
      </w:pPr>
      <w:r>
        <w:rPr>
          <w:rFonts w:ascii="Times New Roman" w:cs="Times New Roman" w:eastAsia="Times New Roman" w:hAnsi="Times New Roman"/>
          <w:sz w:val="21"/>
          <w:szCs w:val="21"/>
          <w:color w:val="auto"/>
        </w:rPr>
        <w:t>2.9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2" w:lineRule="exact"/>
        <w:rPr>
          <w:sz w:val="20"/>
          <w:szCs w:val="20"/>
          <w:color w:val="auto"/>
        </w:rPr>
      </w:pPr>
    </w:p>
    <w:p>
      <w:pPr>
        <w:jc w:val="both"/>
        <w:ind w:left="10" w:hanging="10"/>
        <w:spacing w:after="0" w:line="245" w:lineRule="auto"/>
        <w:tabs>
          <w:tab w:leader="none" w:pos="34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Times New Roman" w:cs="Times New Roman" w:eastAsia="Times New Roman" w:hAnsi="Times New Roman"/>
          <w:sz w:val="22"/>
          <w:szCs w:val="22"/>
          <w:u w:val="single" w:color="auto"/>
          <w:color w:val="auto"/>
        </w:rPr>
        <w:t>Approved Directors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10"/>
        <w:spacing w:after="0" w:line="246" w:lineRule="auto"/>
        <w:rPr>
          <w:sz w:val="20"/>
          <w:szCs w:val="20"/>
          <w:color w:val="auto"/>
        </w:rPr>
      </w:pPr>
      <w:r>
        <w:rPr>
          <w:rFonts w:ascii="Times New Roman" w:cs="Times New Roman" w:eastAsia="Times New Roman" w:hAnsi="Times New Roman"/>
          <w:sz w:val="22"/>
          <w:szCs w:val="22"/>
          <w:color w:val="auto"/>
        </w:rPr>
        <w:t>For purposes of determining whether a Change in Control has occurred, the following Persons and Groups shall not be deemed to be “unrelated”: (i) Stephen A. Wynn, the spouse, siblings, children, grandchildren or great grandchildren of Stephen A. Wynn, any trust primarily for the benefit of the foregoing persons, or any Affiliate of any of the foregoing persons, (ii) any Person or Group directly or indirectly having Beneficial Ownership of more than fifty percent (50%) of the issued and outstanding voting power of Company’s voting securities immediately before the transaction in question, (iii) any Person or Group of which the Company has Beneficial Ownership of more than fifty percent (50%) of the voting power of the issued and outstanding voting securities immediately before the transaction in question, and (iv)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w:t>
      </w:r>
    </w:p>
    <w:p>
      <w:pPr>
        <w:spacing w:after="0" w:line="200" w:lineRule="exact"/>
        <w:rPr>
          <w:sz w:val="20"/>
          <w:szCs w:val="20"/>
          <w:color w:val="auto"/>
        </w:rPr>
      </w:pPr>
    </w:p>
    <w:p>
      <w:pPr>
        <w:spacing w:after="0" w:line="23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50"/>
          </w:cols>
          <w:pgMar w:left="410" w:top="369" w:right="239" w:bottom="1440" w:gutter="0" w:footer="0" w:header="0"/>
        </w:sectPr>
      </w:pPr>
    </w:p>
    <w:bookmarkStart w:id="128" w:name="page129"/>
    <w:bookmarkEnd w:id="128"/>
    <w:p>
      <w:pPr>
        <w:jc w:val="both"/>
        <w:spacing w:after="0" w:line="271" w:lineRule="auto"/>
        <w:rPr>
          <w:sz w:val="20"/>
          <w:szCs w:val="20"/>
          <w:color w:val="auto"/>
        </w:rPr>
      </w:pPr>
      <w:r>
        <w:rPr>
          <w:rFonts w:ascii="Times New Roman" w:cs="Times New Roman" w:eastAsia="Times New Roman" w:hAnsi="Times New Roman"/>
          <w:sz w:val="22"/>
          <w:szCs w:val="22"/>
          <w:color w:val="auto"/>
        </w:rPr>
        <w:t>in question. The terms “Person,” “Group,” “Beneficial Owner,” and “Beneficial Ownership” shall have the meanings used in the Exchange Act and the rules and regulations promulgated thereunder.</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Times New Roman" w:cs="Times New Roman" w:eastAsia="Times New Roman" w:hAnsi="Times New Roman"/>
          <w:sz w:val="22"/>
          <w:szCs w:val="22"/>
          <w:u w:val="single" w:color="auto"/>
          <w:color w:val="auto"/>
        </w:rPr>
        <w:t>Proxy Contest</w:t>
      </w:r>
      <w:r>
        <w:rPr>
          <w:rFonts w:ascii="Times New Roman" w:cs="Times New Roman" w:eastAsia="Times New Roman" w:hAnsi="Times New Roman"/>
          <w:sz w:val="22"/>
          <w:szCs w:val="22"/>
          <w:color w:val="auto"/>
        </w:rPr>
        <w:t>”), or as a result of an agreement to avoid or settle an Election Contest or Proxy Contest.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together with the regulations and official guidance promulgated thereunder.</w:t>
      </w:r>
    </w:p>
    <w:p>
      <w:pPr>
        <w:spacing w:after="0" w:line="14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or another committee or subcommittee of the Board, appointed as provided in Section 13.1.</w:t>
      </w:r>
    </w:p>
    <w:p>
      <w:pPr>
        <w:spacing w:after="0" w:line="144"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common stock of the Company.</w:t>
      </w:r>
    </w:p>
    <w:p>
      <w:pPr>
        <w:spacing w:after="0" w:line="23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have the meaning set forth in Article 1.</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2.14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Covered Employee</w:t>
      </w:r>
      <w:r>
        <w:rPr>
          <w:rFonts w:ascii="Times New Roman" w:cs="Times New Roman" w:eastAsia="Times New Roman" w:hAnsi="Times New Roman"/>
          <w:sz w:val="22"/>
          <w:szCs w:val="22"/>
          <w:color w:val="auto"/>
        </w:rPr>
        <w:t>” shall mean any Employee who is, or could be, a “covered employee” within the meaning of Section 162(m) of the Code.</w:t>
      </w:r>
    </w:p>
    <w:p>
      <w:pPr>
        <w:spacing w:after="0" w:line="144"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Deferred Stock</w:t>
      </w:r>
      <w:r>
        <w:rPr>
          <w:rFonts w:ascii="Times New Roman" w:cs="Times New Roman" w:eastAsia="Times New Roman" w:hAnsi="Times New Roman"/>
          <w:sz w:val="21"/>
          <w:szCs w:val="21"/>
          <w:color w:val="auto"/>
        </w:rPr>
        <w:t>” shall mean a right to receive Shares awarded under Section 10.4.</w:t>
      </w:r>
    </w:p>
    <w:p>
      <w:pPr>
        <w:spacing w:after="0" w:line="23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Deferred Stock Unit</w:t>
      </w:r>
      <w:r>
        <w:rPr>
          <w:rFonts w:ascii="Times New Roman" w:cs="Times New Roman" w:eastAsia="Times New Roman" w:hAnsi="Times New Roman"/>
          <w:sz w:val="21"/>
          <w:szCs w:val="21"/>
          <w:color w:val="auto"/>
        </w:rPr>
        <w:t>” shall mean a right to receive Shares awarded under Section 10.5.</w:t>
      </w:r>
    </w:p>
    <w:p>
      <w:pPr>
        <w:spacing w:after="0" w:line="23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w:t>
      </w:r>
      <w:r>
        <w:rPr>
          <w:rFonts w:ascii="Times New Roman" w:cs="Times New Roman" w:eastAsia="Times New Roman" w:hAnsi="Times New Roman"/>
          <w:sz w:val="21"/>
          <w:szCs w:val="21"/>
          <w:color w:val="auto"/>
        </w:rPr>
        <w:t>” shall mean a member of the Board, as constituted from time to time.</w:t>
      </w: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420" w:top="369" w:right="239" w:bottom="1440" w:gutter="0" w:footer="0" w:header="0"/>
        </w:sectPr>
      </w:pPr>
    </w:p>
    <w:bookmarkStart w:id="129" w:name="page130"/>
    <w:bookmarkEnd w:id="129"/>
    <w:p>
      <w:pPr>
        <w:ind w:left="180" w:firstLine="648"/>
        <w:spacing w:after="0" w:line="284" w:lineRule="auto"/>
        <w:rPr>
          <w:sz w:val="20"/>
          <w:szCs w:val="20"/>
          <w:color w:val="auto"/>
        </w:rPr>
      </w:pPr>
      <w:r>
        <w:rPr>
          <w:rFonts w:ascii="Times New Roman" w:cs="Times New Roman" w:eastAsia="Times New Roman" w:hAnsi="Times New Roman"/>
          <w:sz w:val="22"/>
          <w:szCs w:val="22"/>
          <w:color w:val="auto"/>
        </w:rPr>
        <w:t>2.19 “</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 right to receive the equivalent value (in cash or Shares) of dividends paid on Shares, awarded under Section 10.2.</w:t>
      </w:r>
    </w:p>
    <w:p>
      <w:pPr>
        <w:spacing w:after="0" w:line="144" w:lineRule="exact"/>
        <w:rPr>
          <w:sz w:val="20"/>
          <w:szCs w:val="20"/>
          <w:color w:val="auto"/>
        </w:rPr>
      </w:pPr>
    </w:p>
    <w:p>
      <w:pPr>
        <w:ind w:left="180" w:firstLine="648"/>
        <w:spacing w:after="0" w:line="284" w:lineRule="auto"/>
        <w:rPr>
          <w:sz w:val="20"/>
          <w:szCs w:val="20"/>
          <w:color w:val="auto"/>
        </w:rPr>
      </w:pPr>
      <w:r>
        <w:rPr>
          <w:rFonts w:ascii="Times New Roman" w:cs="Times New Roman" w:eastAsia="Times New Roman" w:hAnsi="Times New Roman"/>
          <w:sz w:val="22"/>
          <w:szCs w:val="22"/>
          <w:color w:val="auto"/>
        </w:rPr>
        <w:t>2.20 “</w:t>
      </w:r>
      <w:r>
        <w:rPr>
          <w:rFonts w:ascii="Times New Roman" w:cs="Times New Roman" w:eastAsia="Times New Roman" w:hAnsi="Times New Roman"/>
          <w:sz w:val="22"/>
          <w:szCs w:val="22"/>
          <w:u w:val="single" w:color="auto"/>
          <w:color w:val="auto"/>
        </w:rPr>
        <w:t>DRO</w:t>
      </w:r>
      <w:r>
        <w:rPr>
          <w:rFonts w:ascii="Times New Roman" w:cs="Times New Roman" w:eastAsia="Times New Roman" w:hAnsi="Times New Roman"/>
          <w:sz w:val="22"/>
          <w:szCs w:val="22"/>
          <w:color w:val="auto"/>
        </w:rPr>
        <w:t>” shall mean a domestic relations order as defined by the Code or Title I of the Employee Retirement Income Security Act of 1974, as amended from time to time, or the rules thereunder.</w:t>
      </w:r>
    </w:p>
    <w:p>
      <w:pPr>
        <w:spacing w:after="0" w:line="144" w:lineRule="exact"/>
        <w:rPr>
          <w:sz w:val="20"/>
          <w:szCs w:val="20"/>
          <w:color w:val="auto"/>
        </w:rPr>
      </w:pPr>
    </w:p>
    <w:p>
      <w:pPr>
        <w:ind w:left="180" w:firstLine="648"/>
        <w:spacing w:after="0" w:line="284" w:lineRule="auto"/>
        <w:rPr>
          <w:sz w:val="20"/>
          <w:szCs w:val="20"/>
          <w:color w:val="auto"/>
        </w:rPr>
      </w:pPr>
      <w:r>
        <w:rPr>
          <w:rFonts w:ascii="Times New Roman" w:cs="Times New Roman" w:eastAsia="Times New Roman" w:hAnsi="Times New Roman"/>
          <w:sz w:val="22"/>
          <w:szCs w:val="22"/>
          <w:color w:val="auto"/>
        </w:rPr>
        <w:t>2.21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the date the Plan is approved by the Board, subject to approval of the Plan by the Company’s stockholders.</w:t>
      </w:r>
    </w:p>
    <w:p>
      <w:pPr>
        <w:spacing w:after="0" w:line="144" w:lineRule="exact"/>
        <w:rPr>
          <w:sz w:val="20"/>
          <w:szCs w:val="20"/>
          <w:color w:val="auto"/>
        </w:rPr>
      </w:pPr>
    </w:p>
    <w:p>
      <w:pPr>
        <w:ind w:left="180" w:firstLine="648"/>
        <w:spacing w:after="0" w:line="284" w:lineRule="auto"/>
        <w:rPr>
          <w:sz w:val="20"/>
          <w:szCs w:val="20"/>
          <w:color w:val="auto"/>
        </w:rPr>
      </w:pPr>
      <w:r>
        <w:rPr>
          <w:rFonts w:ascii="Times New Roman" w:cs="Times New Roman" w:eastAsia="Times New Roman" w:hAnsi="Times New Roman"/>
          <w:sz w:val="22"/>
          <w:szCs w:val="22"/>
          <w:color w:val="auto"/>
        </w:rPr>
        <w:t>2.22 “</w:t>
      </w:r>
      <w:r>
        <w:rPr>
          <w:rFonts w:ascii="Times New Roman" w:cs="Times New Roman" w:eastAsia="Times New Roman" w:hAnsi="Times New Roman"/>
          <w:sz w:val="22"/>
          <w:szCs w:val="22"/>
          <w:u w:val="single" w:color="auto"/>
          <w:color w:val="auto"/>
        </w:rPr>
        <w:t>Eligible Individual</w:t>
      </w:r>
      <w:r>
        <w:rPr>
          <w:rFonts w:ascii="Times New Roman" w:cs="Times New Roman" w:eastAsia="Times New Roman" w:hAnsi="Times New Roman"/>
          <w:sz w:val="22"/>
          <w:szCs w:val="22"/>
          <w:color w:val="auto"/>
        </w:rPr>
        <w:t>” shall mean any person who is an Employee, a Consultant or a Non-Employee Director, as determined by the Committee.</w:t>
      </w:r>
    </w:p>
    <w:p>
      <w:pPr>
        <w:spacing w:after="0" w:line="144" w:lineRule="exact"/>
        <w:rPr>
          <w:sz w:val="20"/>
          <w:szCs w:val="20"/>
          <w:color w:val="auto"/>
        </w:rPr>
      </w:pPr>
    </w:p>
    <w:p>
      <w:pPr>
        <w:ind w:left="180" w:right="20" w:firstLine="648"/>
        <w:spacing w:after="0" w:line="284" w:lineRule="auto"/>
        <w:rPr>
          <w:sz w:val="20"/>
          <w:szCs w:val="20"/>
          <w:color w:val="auto"/>
        </w:rPr>
      </w:pPr>
      <w:r>
        <w:rPr>
          <w:rFonts w:ascii="Times New Roman" w:cs="Times New Roman" w:eastAsia="Times New Roman" w:hAnsi="Times New Roman"/>
          <w:sz w:val="22"/>
          <w:szCs w:val="22"/>
          <w:color w:val="auto"/>
        </w:rPr>
        <w:t>2.23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shall mean any officer or other employee (as determined in accordance with Section 3401(c) of the Code and the Treasury Regulations thereunder) of the Company or of any Affiliate.</w:t>
      </w:r>
    </w:p>
    <w:p>
      <w:pPr>
        <w:spacing w:after="0" w:line="144" w:lineRule="exact"/>
        <w:rPr>
          <w:sz w:val="20"/>
          <w:szCs w:val="20"/>
          <w:color w:val="auto"/>
        </w:rPr>
      </w:pPr>
    </w:p>
    <w:p>
      <w:pPr>
        <w:jc w:val="both"/>
        <w:ind w:firstLine="810"/>
        <w:spacing w:after="0" w:line="257" w:lineRule="auto"/>
        <w:rPr>
          <w:sz w:val="20"/>
          <w:szCs w:val="20"/>
          <w:color w:val="auto"/>
        </w:rPr>
      </w:pPr>
      <w:r>
        <w:rPr>
          <w:rFonts w:ascii="Times New Roman" w:cs="Times New Roman" w:eastAsia="Times New Roman" w:hAnsi="Times New Roman"/>
          <w:sz w:val="22"/>
          <w:szCs w:val="22"/>
          <w:color w:val="auto"/>
        </w:rPr>
        <w:t>2.24 “</w:t>
      </w:r>
      <w:r>
        <w:rPr>
          <w:rFonts w:ascii="Times New Roman" w:cs="Times New Roman" w:eastAsia="Times New Roman" w:hAnsi="Times New Roman"/>
          <w:sz w:val="22"/>
          <w:szCs w:val="22"/>
          <w:u w:val="single" w:color="auto"/>
          <w:color w:val="auto"/>
        </w:rPr>
        <w:t>Equity Restructuring</w:t>
      </w:r>
      <w:r>
        <w:rPr>
          <w:rFonts w:ascii="Times New Roman" w:cs="Times New Roman" w:eastAsia="Times New Roman" w:hAnsi="Times New Roman"/>
          <w:sz w:val="22"/>
          <w:szCs w:val="22"/>
          <w:color w:val="auto"/>
        </w:rPr>
        <w:t>”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72" w:lineRule="exact"/>
        <w:rPr>
          <w:sz w:val="20"/>
          <w:szCs w:val="20"/>
          <w:color w:val="auto"/>
        </w:rPr>
      </w:pPr>
    </w:p>
    <w:p>
      <w:pPr>
        <w:ind w:left="820"/>
        <w:spacing w:after="0"/>
        <w:tabs>
          <w:tab w:leader="none" w:pos="136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shall mean the Securities Exchange Act of 1934, as amended from time to time.</w:t>
      </w:r>
    </w:p>
    <w:p>
      <w:pPr>
        <w:spacing w:after="0" w:line="233" w:lineRule="exact"/>
        <w:rPr>
          <w:sz w:val="20"/>
          <w:szCs w:val="20"/>
          <w:color w:val="auto"/>
        </w:rPr>
      </w:pPr>
    </w:p>
    <w:p>
      <w:pPr>
        <w:ind w:left="820"/>
        <w:spacing w:after="0"/>
        <w:tabs>
          <w:tab w:leader="none" w:pos="136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shall have the meaning set forth in Section 14.1.</w:t>
      </w:r>
    </w:p>
    <w:p>
      <w:pPr>
        <w:spacing w:after="0" w:line="233" w:lineRule="exact"/>
        <w:rPr>
          <w:sz w:val="20"/>
          <w:szCs w:val="20"/>
          <w:color w:val="auto"/>
        </w:rPr>
      </w:pPr>
    </w:p>
    <w:p>
      <w:pPr>
        <w:ind w:left="820"/>
        <w:spacing w:after="0"/>
        <w:tabs>
          <w:tab w:leader="none" w:pos="1360"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Fair Market Value</w:t>
      </w:r>
      <w:r>
        <w:rPr>
          <w:rFonts w:ascii="Times New Roman" w:cs="Times New Roman" w:eastAsia="Times New Roman" w:hAnsi="Times New Roman"/>
          <w:sz w:val="21"/>
          <w:szCs w:val="21"/>
          <w:color w:val="auto"/>
        </w:rPr>
        <w:t>” shall mean, as of any given date, the value of a Share determined as follows:</w:t>
      </w:r>
    </w:p>
    <w:p>
      <w:pPr>
        <w:spacing w:after="0" w:line="233" w:lineRule="exact"/>
        <w:rPr>
          <w:sz w:val="20"/>
          <w:szCs w:val="20"/>
          <w:color w:val="auto"/>
        </w:rPr>
      </w:pPr>
    </w:p>
    <w:p>
      <w:pPr>
        <w:jc w:val="both"/>
        <w:ind w:left="180" w:firstLine="1125"/>
        <w:spacing w:after="0" w:line="251" w:lineRule="auto"/>
        <w:tabs>
          <w:tab w:leader="none" w:pos="18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Times New Roman" w:cs="Times New Roman" w:eastAsia="Times New Roman" w:hAnsi="Times New Roman"/>
          <w:sz w:val="22"/>
          <w:szCs w:val="22"/>
          <w:i w:val="1"/>
          <w:iCs w:val="1"/>
          <w:color w:val="auto"/>
        </w:rPr>
        <w:t>The Wall Street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Journal </w:t>
      </w:r>
      <w:r>
        <w:rPr>
          <w:rFonts w:ascii="Times New Roman" w:cs="Times New Roman" w:eastAsia="Times New Roman" w:hAnsi="Times New Roman"/>
          <w:sz w:val="22"/>
          <w:szCs w:val="22"/>
          <w:color w:val="auto"/>
        </w:rPr>
        <w:t>or such other source as the Administrator deems reliable;</w:t>
      </w:r>
    </w:p>
    <w:p>
      <w:pPr>
        <w:spacing w:after="0" w:line="181" w:lineRule="exact"/>
        <w:rPr>
          <w:rFonts w:ascii="Times New Roman" w:cs="Times New Roman" w:eastAsia="Times New Roman" w:hAnsi="Times New Roman"/>
          <w:sz w:val="22"/>
          <w:szCs w:val="22"/>
          <w:color w:val="auto"/>
        </w:rPr>
      </w:pPr>
    </w:p>
    <w:p>
      <w:pPr>
        <w:jc w:val="both"/>
        <w:ind w:left="180" w:firstLine="1125"/>
        <w:spacing w:after="0" w:line="257" w:lineRule="auto"/>
        <w:tabs>
          <w:tab w:leader="none" w:pos="177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information exists, as reported in The Wall Street Journal or such other source as the Administrator deems reliable; or</w:t>
      </w:r>
    </w:p>
    <w:p>
      <w:pPr>
        <w:spacing w:after="0" w:line="220" w:lineRule="exact"/>
        <w:rPr>
          <w:sz w:val="20"/>
          <w:szCs w:val="20"/>
          <w:color w:val="auto"/>
        </w:rPr>
      </w:pPr>
    </w:p>
    <w:p>
      <w:pPr>
        <w:jc w:val="both"/>
        <w:ind w:firstLine="1125"/>
        <w:spacing w:after="0" w:line="263" w:lineRule="auto"/>
        <w:tabs>
          <w:tab w:leader="none" w:pos="17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2.28 “</w:t>
      </w:r>
      <w:r>
        <w:rPr>
          <w:rFonts w:ascii="Times New Roman" w:cs="Times New Roman" w:eastAsia="Times New Roman" w:hAnsi="Times New Roman"/>
          <w:sz w:val="22"/>
          <w:szCs w:val="22"/>
          <w:u w:val="single" w:color="auto"/>
          <w:color w:val="auto"/>
        </w:rPr>
        <w:t>Greater Than 10% Stockholder</w:t>
      </w:r>
      <w:r>
        <w:rPr>
          <w:rFonts w:ascii="Times New Roman" w:cs="Times New Roman" w:eastAsia="Times New Roman" w:hAnsi="Times New Roman"/>
          <w:sz w:val="22"/>
          <w:szCs w:val="22"/>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68"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shall mean a person who has been granted an Award.</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2.30 “</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shall mean an Option that is intended to qualify as an incentive stock option and conforms to the applicable provisions of Section 422 of the Code.</w:t>
      </w:r>
    </w:p>
    <w:p>
      <w:pPr>
        <w:spacing w:after="0" w:line="144"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shall mean a Director of the Company who is not an Employee.</w:t>
      </w:r>
    </w:p>
    <w:p>
      <w:pPr>
        <w:spacing w:after="0" w:line="23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Non-Employee Director Equity Compensation Policy</w:t>
      </w:r>
      <w:r>
        <w:rPr>
          <w:rFonts w:ascii="Times New Roman" w:cs="Times New Roman" w:eastAsia="Times New Roman" w:hAnsi="Times New Roman"/>
          <w:sz w:val="21"/>
          <w:szCs w:val="21"/>
          <w:color w:val="auto"/>
        </w:rPr>
        <w:t>” shall have the meaning set forth in Section 4.6.</w:t>
      </w:r>
    </w:p>
    <w:p>
      <w:pPr>
        <w:spacing w:after="0" w:line="23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Non-Qualified Stock Option</w:t>
      </w:r>
      <w:r>
        <w:rPr>
          <w:rFonts w:ascii="Times New Roman" w:cs="Times New Roman" w:eastAsia="Times New Roman" w:hAnsi="Times New Roman"/>
          <w:sz w:val="21"/>
          <w:szCs w:val="21"/>
          <w:color w:val="auto"/>
        </w:rPr>
        <w:t>” shall mean an Option that is not an Incentive Stock Option.</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2.34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shall mean a right to purchase Shares at a specified exercise price, granted under Article 6. An Option shall be either a Non-Qualified Stock Option or an Incentive Stock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Options granted to Non-Employee Directors and Consultants shall only be Non-Qualified Stock Options.</w:t>
      </w:r>
    </w:p>
    <w:p>
      <w:pPr>
        <w:spacing w:after="0" w:line="168"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shall have the meaning set forth in Section 6.4.</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2.36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72"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2.37 “</w:t>
      </w:r>
      <w:r>
        <w:rPr>
          <w:rFonts w:ascii="Times New Roman" w:cs="Times New Roman" w:eastAsia="Times New Roman" w:hAnsi="Times New Roman"/>
          <w:sz w:val="22"/>
          <w:szCs w:val="22"/>
          <w:u w:val="single" w:color="auto"/>
          <w:color w:val="auto"/>
        </w:rPr>
        <w:t>Performance Award</w:t>
      </w:r>
      <w:r>
        <w:rPr>
          <w:rFonts w:ascii="Times New Roman" w:cs="Times New Roman" w:eastAsia="Times New Roman" w:hAnsi="Times New Roman"/>
          <w:sz w:val="22"/>
          <w:szCs w:val="22"/>
          <w:color w:val="auto"/>
        </w:rPr>
        <w:t>” shall mean a cash bonus award, stock bonus award, performance award or incentive award that is paid in cash, Shares or a combination of both, awarded under Section 10.1.</w:t>
      </w:r>
    </w:p>
    <w:p>
      <w:pPr>
        <w:spacing w:after="0" w:line="144"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2.38 “</w:t>
      </w:r>
      <w:r>
        <w:rPr>
          <w:rFonts w:ascii="Times New Roman" w:cs="Times New Roman" w:eastAsia="Times New Roman" w:hAnsi="Times New Roman"/>
          <w:sz w:val="22"/>
          <w:szCs w:val="22"/>
          <w:u w:val="single" w:color="auto"/>
          <w:color w:val="auto"/>
        </w:rPr>
        <w:t>Performance-Based Compensation</w:t>
      </w:r>
      <w:r>
        <w:rPr>
          <w:rFonts w:ascii="Times New Roman" w:cs="Times New Roman" w:eastAsia="Times New Roman" w:hAnsi="Times New Roman"/>
          <w:sz w:val="22"/>
          <w:szCs w:val="22"/>
          <w:color w:val="auto"/>
        </w:rPr>
        <w:t>” shall mean any compensation that is intended to qualify as “performance-based compensation” as described in Section 162(m)(4)(C) of the Code.</w:t>
      </w:r>
    </w:p>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420" w:top="369" w:right="239" w:bottom="1440" w:gutter="0" w:footer="0" w:header="0"/>
        </w:sectPr>
      </w:pPr>
    </w:p>
    <w:bookmarkStart w:id="131" w:name="page132"/>
    <w:bookmarkEnd w:id="131"/>
    <w:p>
      <w:pPr>
        <w:ind w:left="180" w:firstLine="648"/>
        <w:spacing w:after="0" w:line="284" w:lineRule="auto"/>
        <w:rPr>
          <w:sz w:val="20"/>
          <w:szCs w:val="20"/>
          <w:color w:val="auto"/>
        </w:rPr>
      </w:pPr>
      <w:r>
        <w:rPr>
          <w:rFonts w:ascii="Times New Roman" w:cs="Times New Roman" w:eastAsia="Times New Roman" w:hAnsi="Times New Roman"/>
          <w:sz w:val="22"/>
          <w:szCs w:val="22"/>
          <w:color w:val="auto"/>
        </w:rPr>
        <w:t>2.39 “</w:t>
      </w: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shall mean the criteria (and adjustments) that the Committee selects for an Award for purposes of establishing the Performance Goal or Performance Goals for a Performance Period, determined as follows:</w:t>
      </w:r>
    </w:p>
    <w:p>
      <w:pPr>
        <w:spacing w:after="0" w:line="144" w:lineRule="exact"/>
        <w:rPr>
          <w:sz w:val="20"/>
          <w:szCs w:val="20"/>
          <w:color w:val="auto"/>
        </w:rPr>
      </w:pPr>
    </w:p>
    <w:p>
      <w:pPr>
        <w:jc w:val="both"/>
        <w:ind w:firstLine="1305"/>
        <w:spacing w:after="0" w:line="258" w:lineRule="auto"/>
        <w:tabs>
          <w:tab w:leader="none" w:pos="179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Performance Criteria that shall be used to establish Performance Goals are limited to the following: (i) operating income (either before or after one or more of the following (a) depreciation, (b) amortization, (c) pre-opening costs,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 (xi)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172" w:lineRule="exact"/>
        <w:rPr>
          <w:rFonts w:ascii="Times New Roman" w:cs="Times New Roman" w:eastAsia="Times New Roman" w:hAnsi="Times New Roman"/>
          <w:sz w:val="21"/>
          <w:szCs w:val="21"/>
          <w:color w:val="auto"/>
        </w:rPr>
      </w:pPr>
    </w:p>
    <w:p>
      <w:pPr>
        <w:jc w:val="both"/>
        <w:ind w:left="80" w:firstLine="1144"/>
        <w:spacing w:after="0" w:line="247" w:lineRule="auto"/>
        <w:tabs>
          <w:tab w:leader="none" w:pos="172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132" w:name="page133"/>
    <w:bookmarkEnd w:id="132"/>
    <w:p>
      <w:pPr>
        <w:jc w:val="both"/>
        <w:spacing w:after="0" w:line="250" w:lineRule="auto"/>
        <w:rPr>
          <w:sz w:val="20"/>
          <w:szCs w:val="20"/>
          <w:color w:val="auto"/>
        </w:rPr>
      </w:pPr>
      <w:r>
        <w:rPr>
          <w:rFonts w:ascii="Times New Roman" w:cs="Times New Roman" w:eastAsia="Times New Roman" w:hAnsi="Times New Roman"/>
          <w:sz w:val="22"/>
          <w:szCs w:val="22"/>
          <w:color w:val="auto"/>
        </w:rPr>
        <w:t>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pacing w:after="0" w:line="181" w:lineRule="exact"/>
        <w:rPr>
          <w:sz w:val="20"/>
          <w:szCs w:val="20"/>
          <w:color w:val="auto"/>
        </w:rPr>
      </w:pPr>
    </w:p>
    <w:p>
      <w:pPr>
        <w:jc w:val="both"/>
        <w:ind w:left="100" w:firstLine="648"/>
        <w:spacing w:after="0" w:line="253" w:lineRule="auto"/>
        <w:rPr>
          <w:sz w:val="20"/>
          <w:szCs w:val="20"/>
          <w:color w:val="auto"/>
        </w:rPr>
      </w:pPr>
      <w:r>
        <w:rPr>
          <w:rFonts w:ascii="Times New Roman" w:cs="Times New Roman" w:eastAsia="Times New Roman" w:hAnsi="Times New Roman"/>
          <w:sz w:val="22"/>
          <w:szCs w:val="22"/>
          <w:color w:val="auto"/>
        </w:rPr>
        <w:t>2.40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79" w:lineRule="exact"/>
        <w:rPr>
          <w:sz w:val="20"/>
          <w:szCs w:val="20"/>
          <w:color w:val="auto"/>
        </w:rPr>
      </w:pPr>
    </w:p>
    <w:p>
      <w:pPr>
        <w:jc w:val="both"/>
        <w:ind w:left="100" w:right="20" w:firstLine="648"/>
        <w:spacing w:after="0" w:line="263" w:lineRule="auto"/>
        <w:rPr>
          <w:sz w:val="20"/>
          <w:szCs w:val="20"/>
          <w:color w:val="auto"/>
        </w:rPr>
      </w:pPr>
      <w:r>
        <w:rPr>
          <w:rFonts w:ascii="Times New Roman" w:cs="Times New Roman" w:eastAsia="Times New Roman" w:hAnsi="Times New Roman"/>
          <w:sz w:val="22"/>
          <w:szCs w:val="22"/>
          <w:color w:val="auto"/>
        </w:rPr>
        <w:t>2.41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168" w:lineRule="exact"/>
        <w:rPr>
          <w:sz w:val="20"/>
          <w:szCs w:val="20"/>
          <w:color w:val="auto"/>
        </w:rPr>
      </w:pPr>
    </w:p>
    <w:p>
      <w:pPr>
        <w:jc w:val="both"/>
        <w:ind w:left="100" w:firstLine="648"/>
        <w:spacing w:after="0" w:line="284" w:lineRule="auto"/>
        <w:rPr>
          <w:sz w:val="20"/>
          <w:szCs w:val="20"/>
          <w:color w:val="auto"/>
        </w:rPr>
      </w:pPr>
      <w:r>
        <w:rPr>
          <w:rFonts w:ascii="Times New Roman" w:cs="Times New Roman" w:eastAsia="Times New Roman" w:hAnsi="Times New Roman"/>
          <w:sz w:val="22"/>
          <w:szCs w:val="22"/>
          <w:color w:val="auto"/>
        </w:rPr>
        <w:t>2.42 “</w:t>
      </w:r>
      <w:r>
        <w:rPr>
          <w:rFonts w:ascii="Times New Roman" w:cs="Times New Roman" w:eastAsia="Times New Roman" w:hAnsi="Times New Roman"/>
          <w:sz w:val="22"/>
          <w:szCs w:val="22"/>
          <w:u w:val="single" w:color="auto"/>
          <w:color w:val="auto"/>
        </w:rPr>
        <w:t>Performance Stock Unit</w:t>
      </w:r>
      <w:r>
        <w:rPr>
          <w:rFonts w:ascii="Times New Roman" w:cs="Times New Roman" w:eastAsia="Times New Roman" w:hAnsi="Times New Roman"/>
          <w:sz w:val="22"/>
          <w:szCs w:val="22"/>
          <w:color w:val="auto"/>
        </w:rPr>
        <w:t>” shall mean a Performance Award awarded under Section 10.1 which is denominated in units of value including dollar value of Shares.</w:t>
      </w:r>
    </w:p>
    <w:p>
      <w:pPr>
        <w:spacing w:after="0" w:line="144" w:lineRule="exact"/>
        <w:rPr>
          <w:sz w:val="20"/>
          <w:szCs w:val="20"/>
          <w:color w:val="auto"/>
        </w:rPr>
      </w:pPr>
    </w:p>
    <w:p>
      <w:pPr>
        <w:jc w:val="both"/>
        <w:ind w:left="100" w:firstLine="648"/>
        <w:spacing w:after="0" w:line="263" w:lineRule="auto"/>
        <w:rPr>
          <w:sz w:val="20"/>
          <w:szCs w:val="20"/>
          <w:color w:val="auto"/>
        </w:rPr>
      </w:pPr>
      <w:r>
        <w:rPr>
          <w:rFonts w:ascii="Times New Roman" w:cs="Times New Roman" w:eastAsia="Times New Roman" w:hAnsi="Times New Roman"/>
          <w:sz w:val="22"/>
          <w:szCs w:val="22"/>
          <w:color w:val="auto"/>
        </w:rPr>
        <w:t>2.43 “</w:t>
      </w:r>
      <w:r>
        <w:rPr>
          <w:rFonts w:ascii="Times New Roman" w:cs="Times New Roman" w:eastAsia="Times New Roman" w:hAnsi="Times New Roman"/>
          <w:sz w:val="22"/>
          <w:szCs w:val="22"/>
          <w:u w:val="single" w:color="auto"/>
          <w:color w:val="auto"/>
        </w:rPr>
        <w:t>Permitted Transferee</w:t>
      </w:r>
      <w:r>
        <w:rPr>
          <w:rFonts w:ascii="Times New Roman" w:cs="Times New Roman" w:eastAsia="Times New Roman" w:hAnsi="Times New Roman"/>
          <w:sz w:val="22"/>
          <w:szCs w:val="22"/>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168" w:lineRule="exact"/>
        <w:rPr>
          <w:sz w:val="20"/>
          <w:szCs w:val="20"/>
          <w:color w:val="auto"/>
        </w:rPr>
      </w:pPr>
    </w:p>
    <w:p>
      <w:pPr>
        <w:ind w:left="740"/>
        <w:spacing w:after="0"/>
        <w:tabs>
          <w:tab w:leader="none" w:pos="1340" w:val="left"/>
        </w:tabs>
        <w:rPr>
          <w:sz w:val="20"/>
          <w:szCs w:val="20"/>
          <w:color w:val="auto"/>
        </w:rPr>
      </w:pPr>
      <w:r>
        <w:rPr>
          <w:rFonts w:ascii="Times New Roman" w:cs="Times New Roman" w:eastAsia="Times New Roman" w:hAnsi="Times New Roman"/>
          <w:sz w:val="22"/>
          <w:szCs w:val="22"/>
          <w:color w:val="auto"/>
        </w:rPr>
        <w:t>2.44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have the meaning set forth in Article 1.</w:t>
      </w:r>
    </w:p>
    <w:p>
      <w:pPr>
        <w:spacing w:after="0" w:line="233" w:lineRule="exact"/>
        <w:rPr>
          <w:sz w:val="20"/>
          <w:szCs w:val="20"/>
          <w:color w:val="auto"/>
        </w:rPr>
      </w:pPr>
    </w:p>
    <w:p>
      <w:pPr>
        <w:jc w:val="both"/>
        <w:ind w:left="100" w:firstLine="648"/>
        <w:spacing w:after="0" w:line="284" w:lineRule="auto"/>
        <w:rPr>
          <w:sz w:val="20"/>
          <w:szCs w:val="20"/>
          <w:color w:val="auto"/>
        </w:rPr>
      </w:pPr>
      <w:r>
        <w:rPr>
          <w:rFonts w:ascii="Times New Roman" w:cs="Times New Roman" w:eastAsia="Times New Roman" w:hAnsi="Times New Roman"/>
          <w:sz w:val="22"/>
          <w:szCs w:val="22"/>
          <w:color w:val="auto"/>
        </w:rPr>
        <w:t>2.45 “</w:t>
      </w:r>
      <w:r>
        <w:rPr>
          <w:rFonts w:ascii="Times New Roman" w:cs="Times New Roman" w:eastAsia="Times New Roman" w:hAnsi="Times New Roman"/>
          <w:sz w:val="22"/>
          <w:szCs w:val="22"/>
          <w:u w:val="single" w:color="auto"/>
          <w:color w:val="auto"/>
        </w:rPr>
        <w:t>Prior Plan</w:t>
      </w:r>
      <w:r>
        <w:rPr>
          <w:rFonts w:ascii="Times New Roman" w:cs="Times New Roman" w:eastAsia="Times New Roman" w:hAnsi="Times New Roman"/>
          <w:sz w:val="22"/>
          <w:szCs w:val="22"/>
          <w:color w:val="auto"/>
        </w:rPr>
        <w:t>” shall mean the Amended and Restated Wynn Resorts, Limited 2002 Stock Incentive Plan, as may be amended from time to time.</w:t>
      </w:r>
    </w:p>
    <w:p>
      <w:pPr>
        <w:spacing w:after="0" w:line="144" w:lineRule="exact"/>
        <w:rPr>
          <w:sz w:val="20"/>
          <w:szCs w:val="20"/>
          <w:color w:val="auto"/>
        </w:rPr>
      </w:pPr>
    </w:p>
    <w:p>
      <w:pPr>
        <w:jc w:val="both"/>
        <w:ind w:left="100" w:firstLine="648"/>
        <w:spacing w:after="0" w:line="263" w:lineRule="auto"/>
        <w:rPr>
          <w:sz w:val="20"/>
          <w:szCs w:val="20"/>
          <w:color w:val="auto"/>
        </w:rPr>
      </w:pPr>
      <w:r>
        <w:rPr>
          <w:rFonts w:ascii="Times New Roman" w:cs="Times New Roman" w:eastAsia="Times New Roman" w:hAnsi="Times New Roman"/>
          <w:sz w:val="22"/>
          <w:szCs w:val="22"/>
          <w:color w:val="auto"/>
        </w:rPr>
        <w:t>2.46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68" w:lineRule="exact"/>
        <w:rPr>
          <w:sz w:val="20"/>
          <w:szCs w:val="20"/>
          <w:color w:val="auto"/>
        </w:rPr>
      </w:pPr>
    </w:p>
    <w:p>
      <w:pPr>
        <w:jc w:val="both"/>
        <w:ind w:left="100" w:firstLine="648"/>
        <w:spacing w:after="0" w:line="284" w:lineRule="auto"/>
        <w:rPr>
          <w:sz w:val="20"/>
          <w:szCs w:val="20"/>
          <w:color w:val="auto"/>
        </w:rPr>
      </w:pPr>
      <w:r>
        <w:rPr>
          <w:rFonts w:ascii="Times New Roman" w:cs="Times New Roman" w:eastAsia="Times New Roman" w:hAnsi="Times New Roman"/>
          <w:sz w:val="22"/>
          <w:szCs w:val="22"/>
          <w:color w:val="auto"/>
        </w:rPr>
        <w:t>2.47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shall mean Common Stock awarded under Article 8 that is subject to certain restrictions and may be subject to risk of forfeiture or repurchase.</w:t>
      </w:r>
    </w:p>
    <w:p>
      <w:pPr>
        <w:spacing w:after="0" w:line="144"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2.48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Stock Units</w:t>
      </w:r>
      <w:r>
        <w:rPr>
          <w:rFonts w:ascii="Times New Roman" w:cs="Times New Roman" w:eastAsia="Times New Roman" w:hAnsi="Times New Roman"/>
          <w:sz w:val="21"/>
          <w:szCs w:val="21"/>
          <w:color w:val="auto"/>
        </w:rPr>
        <w:t>” shall mean the right to receive Shares awarded under Article 9.</w:t>
      </w:r>
    </w:p>
    <w:p>
      <w:pPr>
        <w:spacing w:after="0" w:line="233"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2.49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shall mean the Securities Act of 1933, as amended.</w:t>
      </w:r>
    </w:p>
    <w:p>
      <w:pPr>
        <w:spacing w:after="0" w:line="233"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2.50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shall mean shares of Common Stock.</w:t>
      </w: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340"/>
          </w:cols>
          <w:pgMar w:left="320" w:top="369" w:right="239" w:bottom="1440" w:gutter="0" w:footer="0" w:header="0"/>
        </w:sectPr>
      </w:pPr>
    </w:p>
    <w:bookmarkStart w:id="133" w:name="page134"/>
    <w:bookmarkEnd w:id="133"/>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shall mean a stock appreciation right granted under Article 11.</w:t>
      </w:r>
    </w:p>
    <w:p>
      <w:pPr>
        <w:spacing w:after="0" w:line="233"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Appreciation Right Term</w:t>
      </w:r>
      <w:r>
        <w:rPr>
          <w:rFonts w:ascii="Times New Roman" w:cs="Times New Roman" w:eastAsia="Times New Roman" w:hAnsi="Times New Roman"/>
          <w:sz w:val="21"/>
          <w:szCs w:val="21"/>
          <w:color w:val="auto"/>
        </w:rPr>
        <w:t>” shall have the meaning set forth in Section 11.4.</w:t>
      </w:r>
    </w:p>
    <w:p>
      <w:pPr>
        <w:spacing w:after="0" w:line="23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2.53 “</w:t>
      </w:r>
      <w:r>
        <w:rPr>
          <w:rFonts w:ascii="Times New Roman" w:cs="Times New Roman" w:eastAsia="Times New Roman" w:hAnsi="Times New Roman"/>
          <w:sz w:val="22"/>
          <w:szCs w:val="22"/>
          <w:u w:val="single" w:color="auto"/>
          <w:color w:val="auto"/>
        </w:rPr>
        <w:t>Stock Payment</w:t>
      </w:r>
      <w:r>
        <w:rPr>
          <w:rFonts w:ascii="Times New Roman" w:cs="Times New Roman" w:eastAsia="Times New Roman" w:hAnsi="Times New Roman"/>
          <w:sz w:val="22"/>
          <w:szCs w:val="22"/>
          <w:color w:val="auto"/>
        </w:rPr>
        <w:t>” shall mean (a) a payment in the form of Shares, or (b) an option or other right to purchase Shares, as part of a bonus, deferred compensation or other arrangement, awarded under Section 10.3.</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2.54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2.55 “</w:t>
      </w:r>
      <w:r>
        <w:rPr>
          <w:rFonts w:ascii="Times New Roman" w:cs="Times New Roman" w:eastAsia="Times New Roman" w:hAnsi="Times New Roman"/>
          <w:sz w:val="22"/>
          <w:szCs w:val="22"/>
          <w:u w:val="single" w:color="auto"/>
          <w:color w:val="auto"/>
        </w:rPr>
        <w:t>Substitute Award</w:t>
      </w:r>
      <w:r>
        <w:rPr>
          <w:rFonts w:ascii="Times New Roman" w:cs="Times New Roman" w:eastAsia="Times New Roman" w:hAnsi="Times New Roman"/>
          <w:sz w:val="22"/>
          <w:szCs w:val="22"/>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term “Substitute Award” be construed to refer to an award made in connection with the cancellation and repricing of an Option or Stock Appreciation Right.</w:t>
      </w:r>
    </w:p>
    <w:p>
      <w:pPr>
        <w:spacing w:after="0" w:line="179"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2.56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of Service</w:t>
      </w:r>
      <w:r>
        <w:rPr>
          <w:rFonts w:ascii="Times New Roman" w:cs="Times New Roman" w:eastAsia="Times New Roman" w:hAnsi="Times New Roman"/>
          <w:sz w:val="21"/>
          <w:szCs w:val="21"/>
          <w:color w:val="auto"/>
        </w:rPr>
        <w:t>” shall mean:</w:t>
      </w:r>
    </w:p>
    <w:p>
      <w:pPr>
        <w:spacing w:after="0" w:line="233" w:lineRule="exact"/>
        <w:rPr>
          <w:sz w:val="20"/>
          <w:szCs w:val="20"/>
          <w:color w:val="auto"/>
        </w:rPr>
      </w:pPr>
    </w:p>
    <w:p>
      <w:pPr>
        <w:jc w:val="both"/>
        <w:ind w:firstLine="1125"/>
        <w:spacing w:after="0" w:line="257" w:lineRule="auto"/>
        <w:tabs>
          <w:tab w:leader="none" w:pos="15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172" w:lineRule="exact"/>
        <w:rPr>
          <w:rFonts w:ascii="Times New Roman" w:cs="Times New Roman" w:eastAsia="Times New Roman" w:hAnsi="Times New Roman"/>
          <w:sz w:val="22"/>
          <w:szCs w:val="22"/>
          <w:color w:val="auto"/>
        </w:rPr>
      </w:pPr>
    </w:p>
    <w:p>
      <w:pPr>
        <w:jc w:val="both"/>
        <w:ind w:firstLine="1125"/>
        <w:spacing w:after="0" w:line="257" w:lineRule="auto"/>
        <w:tabs>
          <w:tab w:leader="none" w:pos="16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172" w:lineRule="exact"/>
        <w:rPr>
          <w:rFonts w:ascii="Times New Roman" w:cs="Times New Roman" w:eastAsia="Times New Roman" w:hAnsi="Times New Roman"/>
          <w:sz w:val="22"/>
          <w:szCs w:val="22"/>
          <w:color w:val="auto"/>
        </w:rPr>
      </w:pPr>
    </w:p>
    <w:p>
      <w:pPr>
        <w:jc w:val="both"/>
        <w:ind w:firstLine="1125"/>
        <w:spacing w:after="0" w:line="257" w:lineRule="auto"/>
        <w:tabs>
          <w:tab w:leader="none" w:pos="158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w:t>
      </w:r>
    </w:p>
    <w:p>
      <w:pPr>
        <w:spacing w:after="0" w:line="3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420" w:top="369" w:right="239" w:bottom="1440" w:gutter="0" w:footer="0" w:header="0"/>
        </w:sectPr>
      </w:pPr>
    </w:p>
    <w:bookmarkStart w:id="134" w:name="page135"/>
    <w:bookmarkEnd w:id="134"/>
    <w:p>
      <w:pPr>
        <w:jc w:val="both"/>
        <w:ind w:left="180"/>
        <w:spacing w:after="0" w:line="247" w:lineRule="auto"/>
        <w:rPr>
          <w:sz w:val="20"/>
          <w:szCs w:val="20"/>
          <w:color w:val="auto"/>
        </w:rPr>
      </w:pPr>
      <w:r>
        <w:rPr>
          <w:rFonts w:ascii="Times New Roman" w:cs="Times New Roman" w:eastAsia="Times New Roman" w:hAnsi="Times New Roman"/>
          <w:sz w:val="22"/>
          <w:szCs w:val="22"/>
          <w:color w:val="auto"/>
        </w:rPr>
        <w:t>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 SUBJECT TO THE PLAN</w:t>
      </w:r>
    </w:p>
    <w:p>
      <w:pPr>
        <w:spacing w:after="0" w:line="224" w:lineRule="exact"/>
        <w:rPr>
          <w:sz w:val="20"/>
          <w:szCs w:val="20"/>
          <w:color w:val="auto"/>
        </w:rPr>
      </w:pPr>
    </w:p>
    <w:p>
      <w:pPr>
        <w:ind w:left="820"/>
        <w:spacing w:after="0"/>
        <w:tabs>
          <w:tab w:leader="none" w:pos="12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Number of Shares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5"/>
        <w:spacing w:after="0" w:line="251" w:lineRule="auto"/>
        <w:tabs>
          <w:tab w:leader="none" w:pos="174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14.2 and Section 3.1(b) the aggregate number of Shares which may be issued or transferred pursuant to Awards under the Plan is the sum of any of the 4,409,390 Shares that were available for issuance as of the Effective Date under the Prior Plan that remain available for issuance under the Prior Plan as of the date of stockholder approval of the Plan, plus any Shares which as of the date of stockholder approval of the Plan are subject to awards under the Prior Plan which are forfeited or lapse unexercised and which following the date of stockholder approval of the Plan are not issued under the Prior Plan; provided, however, no more than 4,409,390 Shares may be issued upon the exercise of Incentive Stock Options.</w:t>
      </w:r>
    </w:p>
    <w:p>
      <w:pPr>
        <w:spacing w:after="0" w:line="181" w:lineRule="exact"/>
        <w:rPr>
          <w:rFonts w:ascii="Times New Roman" w:cs="Times New Roman" w:eastAsia="Times New Roman" w:hAnsi="Times New Roman"/>
          <w:sz w:val="22"/>
          <w:szCs w:val="22"/>
          <w:color w:val="auto"/>
        </w:rPr>
      </w:pPr>
    </w:p>
    <w:p>
      <w:pPr>
        <w:jc w:val="both"/>
        <w:ind w:left="180" w:firstLine="1125"/>
        <w:spacing w:after="0" w:line="246" w:lineRule="auto"/>
        <w:tabs>
          <w:tab w:leader="none" w:pos="17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135" w:name="page136"/>
    <w:bookmarkEnd w:id="135"/>
    <w:p>
      <w:pPr>
        <w:jc w:val="both"/>
        <w:ind w:firstLine="1125"/>
        <w:spacing w:after="0" w:line="247" w:lineRule="auto"/>
        <w:tabs>
          <w:tab w:leader="none" w:pos="155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Stock Distributed</w:t>
      </w:r>
      <w:r>
        <w:rPr>
          <w:rFonts w:ascii="Times New Roman" w:cs="Times New Roman" w:eastAsia="Times New Roman" w:hAnsi="Times New Roman"/>
          <w:sz w:val="22"/>
          <w:szCs w:val="22"/>
          <w:color w:val="auto"/>
        </w:rPr>
        <w:t>. Any Shares distributed pursuant to an Award may consist, in whole or in part, of authorized and unissued Common Stock, treasury Common Stock or Common Stock purchased on the open market.</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Limitation on Number of Shares Subject to Awards</w:t>
      </w:r>
      <w:r>
        <w:rPr>
          <w:rFonts w:ascii="Times New Roman" w:cs="Times New Roman" w:eastAsia="Times New Roman" w:hAnsi="Times New Roman"/>
          <w:sz w:val="22"/>
          <w:szCs w:val="22"/>
          <w:color w:val="auto"/>
        </w:rPr>
        <w:t xml:space="preserve">. Notwithstanding any provision in the Plan to the contrary, and subject to Section 14.2, the maximum aggregate number of Shares with respect to one or more Awards that may be granted to any one person during any calendar year shall be 1,500,000, and the maximum aggregate amount of cash that may be paid in cash to any person during any calendar year with respect to one or more Awards payable in cash shall be $20,000,000;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1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GRANTING OF AWARDS</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w:t>
      </w: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420" w:top="369"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shall contain such terms and conditions as may be necessary to meet the applicable provisions of Section 422 of the Code.</w:t>
      </w:r>
    </w:p>
    <w:p>
      <w:pPr>
        <w:spacing w:after="0" w:line="220"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Limitations Applicable to Section 16 Persons</w:t>
      </w:r>
      <w:r>
        <w:rPr>
          <w:rFonts w:ascii="Times New Roman" w:cs="Times New Roman" w:eastAsia="Times New Roman" w:hAnsi="Times New Roman"/>
          <w:sz w:val="22"/>
          <w:szCs w:val="22"/>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At-Will Employment; Voluntary Participation</w:t>
      </w:r>
      <w:r>
        <w:rPr>
          <w:rFonts w:ascii="Times New Roman" w:cs="Times New Roman" w:eastAsia="Times New Roman" w:hAnsi="Times New Roman"/>
          <w:sz w:val="22"/>
          <w:szCs w:val="22"/>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Foreign Holders</w:t>
      </w:r>
      <w:r>
        <w:rPr>
          <w:rFonts w:ascii="Times New Roman" w:cs="Times New Roman" w:eastAsia="Times New Roman" w:hAnsi="Times New Roman"/>
          <w:sz w:val="22"/>
          <w:szCs w:val="22"/>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 purposes of the Plan, all references to foreign laws, rules, regulations or taxes shall be references to the laws, rules, regulations and taxes of any applicable jurisdiction other than the United States or a political subdivision thereof.</w:t>
      </w:r>
    </w:p>
    <w:p>
      <w:pPr>
        <w:spacing w:after="0" w:line="200" w:lineRule="exact"/>
        <w:rPr>
          <w:sz w:val="20"/>
          <w:szCs w:val="20"/>
          <w:color w:val="auto"/>
        </w:rPr>
      </w:pPr>
    </w:p>
    <w:p>
      <w:pPr>
        <w:spacing w:after="0" w:line="23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420" w:top="369" w:right="239" w:bottom="1440" w:gutter="0" w:footer="0" w:header="0"/>
        </w:sectPr>
      </w:pPr>
    </w:p>
    <w:bookmarkStart w:id="137" w:name="page138"/>
    <w:bookmarkEnd w:id="137"/>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Non-Employee Director Awards</w:t>
      </w:r>
      <w:r>
        <w:rPr>
          <w:rFonts w:ascii="Times New Roman" w:cs="Times New Roman" w:eastAsia="Times New Roman" w:hAnsi="Times New Roman"/>
          <w:sz w:val="21"/>
          <w:szCs w:val="21"/>
          <w:color w:val="auto"/>
        </w:rPr>
        <w:t>. The Administrator may, in its discretion, provide that Awards granted to Non-Employee Directors shall be granted pursuant to a written non-discretionary formula established by the Administrator (the “</w:t>
      </w:r>
      <w:r>
        <w:rPr>
          <w:rFonts w:ascii="Times New Roman" w:cs="Times New Roman" w:eastAsia="Times New Roman" w:hAnsi="Times New Roman"/>
          <w:sz w:val="21"/>
          <w:szCs w:val="21"/>
          <w:u w:val="single" w:color="auto"/>
          <w:color w:val="auto"/>
        </w:rPr>
        <w:t>Non-Employee Director Equity Compensation Policy</w:t>
      </w:r>
      <w:r>
        <w:rPr>
          <w:rFonts w:ascii="Times New Roman" w:cs="Times New Roman" w:eastAsia="Times New Roman" w:hAnsi="Times New Roman"/>
          <w:sz w:val="21"/>
          <w:szCs w:val="21"/>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16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Stand-Alone and Tandem Awards</w:t>
      </w:r>
      <w:r>
        <w:rPr>
          <w:rFonts w:ascii="Times New Roman" w:cs="Times New Roman" w:eastAsia="Times New Roman" w:hAnsi="Times New Roman"/>
          <w:sz w:val="22"/>
          <w:szCs w:val="22"/>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60" w:lineRule="exact"/>
        <w:rPr>
          <w:sz w:val="20"/>
          <w:szCs w:val="20"/>
          <w:color w:val="auto"/>
        </w:rPr>
      </w:pPr>
    </w:p>
    <w:p>
      <w:pPr>
        <w:jc w:val="center"/>
        <w:ind w:right="180"/>
        <w:spacing w:after="0" w:line="275" w:lineRule="auto"/>
        <w:rPr>
          <w:sz w:val="20"/>
          <w:szCs w:val="20"/>
          <w:color w:val="auto"/>
        </w:rPr>
      </w:pPr>
      <w:r>
        <w:rPr>
          <w:rFonts w:ascii="Times New Roman" w:cs="Times New Roman" w:eastAsia="Times New Roman" w:hAnsi="Times New Roman"/>
          <w:sz w:val="22"/>
          <w:szCs w:val="22"/>
          <w:b w:val="1"/>
          <w:bCs w:val="1"/>
          <w:color w:val="auto"/>
        </w:rPr>
        <w:t>PROVISIONS APPLICABLE TO AWARDS INTENDED TO QUALIFY AS PERFORMANCE-BASED COMPENSATION.</w:t>
      </w:r>
    </w:p>
    <w:p>
      <w:pPr>
        <w:spacing w:after="0" w:line="15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4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Types of Awards</w:t>
      </w:r>
      <w:r>
        <w:rPr>
          <w:rFonts w:ascii="Times New Roman" w:cs="Times New Roman" w:eastAsia="Times New Roman" w:hAnsi="Times New Roman"/>
          <w:sz w:val="22"/>
          <w:szCs w:val="22"/>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w:t>
      </w: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420" w:top="369" w:right="239" w:bottom="1440" w:gutter="0" w:footer="0" w:header="0"/>
        </w:sectPr>
      </w:pPr>
    </w:p>
    <w:bookmarkStart w:id="138" w:name="page139"/>
    <w:bookmarkEnd w:id="138"/>
    <w:p>
      <w:pPr>
        <w:jc w:val="both"/>
        <w:spacing w:after="0" w:line="271" w:lineRule="auto"/>
        <w:rPr>
          <w:sz w:val="20"/>
          <w:szCs w:val="20"/>
          <w:color w:val="auto"/>
        </w:rPr>
      </w:pPr>
      <w:r>
        <w:rPr>
          <w:rFonts w:ascii="Times New Roman" w:cs="Times New Roman" w:eastAsia="Times New Roman" w:hAnsi="Times New Roman"/>
          <w:sz w:val="22"/>
          <w:szCs w:val="22"/>
          <w:color w:val="auto"/>
        </w:rPr>
        <w:t>Awards described in Article 10 that vest or become exercisable or payable upon the attainment of one or more specified Performance Goals.</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Procedures with Respect to Performance-Based Awards</w:t>
      </w:r>
      <w:r>
        <w:rPr>
          <w:rFonts w:ascii="Times New Roman" w:cs="Times New Roman" w:eastAsia="Times New Roman" w:hAnsi="Times New Roman"/>
          <w:sz w:val="22"/>
          <w:szCs w:val="22"/>
          <w:color w:val="auto"/>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Payment of Performance-Based Awards</w:t>
      </w:r>
      <w:r>
        <w:rPr>
          <w:rFonts w:ascii="Times New Roman" w:cs="Times New Roman" w:eastAsia="Times New Roman" w:hAnsi="Times New Roman"/>
          <w:sz w:val="22"/>
          <w:szCs w:val="22"/>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Additional Limitations</w:t>
      </w:r>
      <w:r>
        <w:rPr>
          <w:rFonts w:ascii="Times New Roman" w:cs="Times New Roman" w:eastAsia="Times New Roman" w:hAnsi="Times New Roman"/>
          <w:sz w:val="22"/>
          <w:szCs w:val="22"/>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17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GRANTING OF OPTIONS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Granting of Options to Eligible Individuals</w:t>
      </w:r>
      <w:r>
        <w:rPr>
          <w:rFonts w:ascii="Times New Roman" w:cs="Times New Roman" w:eastAsia="Times New Roman" w:hAnsi="Times New Roman"/>
          <w:sz w:val="22"/>
          <w:szCs w:val="22"/>
          <w:color w:val="auto"/>
        </w:rPr>
        <w:t>. The Administrator is authorized to grant Options to Eligible Individuals from time to time, in its sole discretion, on such terms and conditions as it may determine which shall not be inconsistent with the Plan.</w:t>
      </w: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420" w:top="369" w:right="239" w:bottom="1440" w:gutter="0" w:footer="0" w:header="0"/>
        </w:sectPr>
      </w:pPr>
    </w:p>
    <w:bookmarkStart w:id="139" w:name="page140"/>
    <w:bookmarkEnd w:id="139"/>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Qualification of Incentive Stock Options</w:t>
      </w:r>
      <w:r>
        <w:rPr>
          <w:rFonts w:ascii="Times New Roman" w:cs="Times New Roman" w:eastAsia="Times New Roman" w:hAnsi="Times New Roman"/>
          <w:sz w:val="22"/>
          <w:szCs w:val="22"/>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9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Option Exercise Price</w:t>
      </w:r>
      <w:r>
        <w:rPr>
          <w:rFonts w:ascii="Times New Roman" w:cs="Times New Roman" w:eastAsia="Times New Roman" w:hAnsi="Times New Roman"/>
          <w:sz w:val="22"/>
          <w:szCs w:val="22"/>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Option (the “</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xml:space="preserve">”) shall be set by the Administrator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 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186"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1"/>
          <w:szCs w:val="21"/>
          <w:u w:val="single" w:color="auto"/>
          <w:color w:val="auto"/>
        </w:rPr>
        <w:t>Option Vesting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125"/>
        <w:spacing w:after="0" w:line="257" w:lineRule="auto"/>
        <w:tabs>
          <w:tab w:leader="none" w:pos="156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420" w:top="369" w:right="239" w:bottom="1440" w:gutter="0" w:footer="0" w:header="0"/>
        </w:sectPr>
      </w:pPr>
    </w:p>
    <w:bookmarkStart w:id="140" w:name="page141"/>
    <w:bookmarkEnd w:id="140"/>
    <w:p>
      <w:pPr>
        <w:jc w:val="both"/>
        <w:ind w:firstLine="1125"/>
        <w:spacing w:after="0" w:line="263" w:lineRule="auto"/>
        <w:tabs>
          <w:tab w:leader="none" w:pos="16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Substitution of Stock Appreciation Rights</w:t>
      </w:r>
      <w:r>
        <w:rPr>
          <w:rFonts w:ascii="Times New Roman" w:cs="Times New Roman" w:eastAsia="Times New Roman" w:hAnsi="Times New Roman"/>
          <w:sz w:val="22"/>
          <w:szCs w:val="22"/>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1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EXERCISE OF OPTIONS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Partial Exercise</w:t>
      </w:r>
      <w:r>
        <w:rPr>
          <w:rFonts w:ascii="Times New Roman" w:cs="Times New Roman" w:eastAsia="Times New Roman" w:hAnsi="Times New Roman"/>
          <w:sz w:val="22"/>
          <w:szCs w:val="22"/>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All or a portion of an exercisable Option shall be deemed exercised upon delivery of all of the following to the Secretary of the Company, the stock administrator of the Company or such other person or entity designated by the Administrator, or his, her or its office, as applicable:</w:t>
      </w:r>
    </w:p>
    <w:p>
      <w:pPr>
        <w:spacing w:after="0" w:line="168" w:lineRule="exact"/>
        <w:rPr>
          <w:sz w:val="20"/>
          <w:szCs w:val="20"/>
          <w:color w:val="auto"/>
        </w:rPr>
      </w:pPr>
    </w:p>
    <w:p>
      <w:pPr>
        <w:jc w:val="both"/>
        <w:ind w:firstLine="1125"/>
        <w:spacing w:after="0" w:line="263" w:lineRule="auto"/>
        <w:tabs>
          <w:tab w:leader="none" w:pos="15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67" w:lineRule="exact"/>
        <w:rPr>
          <w:rFonts w:ascii="Times New Roman" w:cs="Times New Roman" w:eastAsia="Times New Roman" w:hAnsi="Times New Roman"/>
          <w:sz w:val="22"/>
          <w:szCs w:val="22"/>
          <w:color w:val="auto"/>
        </w:rPr>
      </w:pPr>
    </w:p>
    <w:p>
      <w:pPr>
        <w:jc w:val="both"/>
        <w:ind w:firstLine="1125"/>
        <w:spacing w:after="0" w:line="263" w:lineRule="auto"/>
        <w:tabs>
          <w:tab w:leader="none" w:pos="156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representations and documents as the Administrator, in its sole discretion, deems necessary or advisable to effect compliance with Applicable Law. The Administrator may, in its sole discretion, also take whatever additional actions it deems appropriate</w:t>
      </w: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420" w:top="369" w:right="239" w:bottom="1440" w:gutter="0" w:footer="0" w:header="0"/>
        </w:sectPr>
      </w:pPr>
    </w:p>
    <w:bookmarkStart w:id="141" w:name="page142"/>
    <w:bookmarkEnd w:id="141"/>
    <w:p>
      <w:pPr>
        <w:ind w:right="20"/>
        <w:spacing w:after="0" w:line="271" w:lineRule="auto"/>
        <w:rPr>
          <w:sz w:val="20"/>
          <w:szCs w:val="20"/>
          <w:color w:val="auto"/>
        </w:rPr>
      </w:pPr>
      <w:r>
        <w:rPr>
          <w:rFonts w:ascii="Times New Roman" w:cs="Times New Roman" w:eastAsia="Times New Roman" w:hAnsi="Times New Roman"/>
          <w:sz w:val="22"/>
          <w:szCs w:val="22"/>
          <w:color w:val="auto"/>
        </w:rPr>
        <w:t>to effect such compliance including, without limitation, placing legends on share certificates and issuing stop-transfer notices to agents and registrars;</w:t>
      </w:r>
    </w:p>
    <w:p>
      <w:pPr>
        <w:spacing w:after="0" w:line="158" w:lineRule="exact"/>
        <w:rPr>
          <w:sz w:val="20"/>
          <w:szCs w:val="20"/>
          <w:color w:val="auto"/>
        </w:rPr>
      </w:pPr>
    </w:p>
    <w:p>
      <w:pPr>
        <w:jc w:val="both"/>
        <w:ind w:firstLine="1125"/>
        <w:spacing w:after="0" w:line="263" w:lineRule="auto"/>
        <w:tabs>
          <w:tab w:leader="none" w:pos="156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167" w:lineRule="exact"/>
        <w:rPr>
          <w:rFonts w:ascii="Times New Roman" w:cs="Times New Roman" w:eastAsia="Times New Roman" w:hAnsi="Times New Roman"/>
          <w:sz w:val="22"/>
          <w:szCs w:val="22"/>
          <w:color w:val="auto"/>
        </w:rPr>
      </w:pPr>
    </w:p>
    <w:p>
      <w:pPr>
        <w:jc w:val="both"/>
        <w:ind w:firstLine="1125"/>
        <w:spacing w:after="0" w:line="309" w:lineRule="auto"/>
        <w:tabs>
          <w:tab w:leader="none" w:pos="15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Full payment of the exercise price and applicable withholding taxes to the stock administrator of the Company for the Shares with respect to which the Option, or portion thereof, is exercised, in a manner permitted by Sections 12.1 and 12.2.</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Notification Regarding Disposition</w:t>
      </w:r>
      <w:r>
        <w:rPr>
          <w:rFonts w:ascii="Times New Roman" w:cs="Times New Roman" w:eastAsia="Times New Roman" w:hAnsi="Times New Roman"/>
          <w:sz w:val="22"/>
          <w:szCs w:val="22"/>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1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AWARD OF RESTRICTED STOCK</w:t>
      </w:r>
    </w:p>
    <w:p>
      <w:pPr>
        <w:spacing w:after="0" w:line="224" w:lineRule="exact"/>
        <w:rPr>
          <w:sz w:val="20"/>
          <w:szCs w:val="20"/>
          <w:color w:val="auto"/>
        </w:rPr>
      </w:pPr>
    </w:p>
    <w:p>
      <w:pPr>
        <w:ind w:left="640"/>
        <w:spacing w:after="0"/>
        <w:tabs>
          <w:tab w:leader="none" w:pos="10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u w:val="single" w:color="auto"/>
          <w:color w:val="auto"/>
        </w:rPr>
        <w:t>Award of Restricted Stock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0" w:firstLine="1125"/>
        <w:spacing w:after="0" w:line="282" w:lineRule="auto"/>
        <w:tabs>
          <w:tab w:leader="none" w:pos="156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48" w:lineRule="exact"/>
        <w:rPr>
          <w:rFonts w:ascii="Times New Roman" w:cs="Times New Roman" w:eastAsia="Times New Roman" w:hAnsi="Times New Roman"/>
          <w:sz w:val="21"/>
          <w:szCs w:val="21"/>
          <w:color w:val="auto"/>
        </w:rPr>
      </w:pPr>
    </w:p>
    <w:p>
      <w:pPr>
        <w:jc w:val="both"/>
        <w:ind w:firstLine="1125"/>
        <w:spacing w:after="0" w:line="257" w:lineRule="auto"/>
        <w:tabs>
          <w:tab w:leader="none" w:pos="172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Administrator shall establish the purchase price, if any, and form of payment for Restricted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Rights as Stockholders</w:t>
      </w:r>
      <w:r>
        <w:rPr>
          <w:rFonts w:ascii="Times New Roman" w:cs="Times New Roman" w:eastAsia="Times New Roman" w:hAnsi="Times New Roman"/>
          <w:sz w:val="22"/>
          <w:szCs w:val="22"/>
          <w:color w:val="auto"/>
        </w:rPr>
        <w:t xml:space="preserve">.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200" w:lineRule="exact"/>
        <w:rPr>
          <w:sz w:val="20"/>
          <w:szCs w:val="20"/>
          <w:color w:val="auto"/>
        </w:rPr>
      </w:pPr>
    </w:p>
    <w:p>
      <w:pPr>
        <w:spacing w:after="0" w:line="2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420" w:top="369" w:right="239" w:bottom="1440" w:gutter="0" w:footer="0" w:header="0"/>
        </w:sectPr>
      </w:pPr>
    </w:p>
    <w:bookmarkStart w:id="142" w:name="page143"/>
    <w:bookmarkEnd w:id="142"/>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1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u w:val="single" w:color="auto"/>
          <w:color w:val="auto"/>
        </w:rPr>
        <w:t>Repurchase or Forfeiture of Restricted Stock</w:t>
      </w:r>
      <w:r>
        <w:rPr>
          <w:rFonts w:ascii="Times New Roman" w:cs="Times New Roman" w:eastAsia="Times New Roman" w:hAnsi="Times New Roman"/>
          <w:sz w:val="22"/>
          <w:szCs w:val="22"/>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 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Certificates for Restricted Stock</w:t>
      </w:r>
      <w:r>
        <w:rPr>
          <w:rFonts w:ascii="Times New Roman" w:cs="Times New Roman" w:eastAsia="Times New Roman" w:hAnsi="Times New Roman"/>
          <w:sz w:val="22"/>
          <w:szCs w:val="22"/>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u w:val="single" w:color="auto"/>
          <w:color w:val="auto"/>
        </w:rPr>
        <w:t>Section 83(b) Election</w:t>
      </w:r>
      <w:r>
        <w:rPr>
          <w:rFonts w:ascii="Times New Roman" w:cs="Times New Roman" w:eastAsia="Times New Roman" w:hAnsi="Times New Roman"/>
          <w:sz w:val="22"/>
          <w:szCs w:val="22"/>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420" w:top="369" w:right="239" w:bottom="1440" w:gutter="0" w:footer="0" w:header="0"/>
        </w:sectPr>
      </w:pPr>
    </w:p>
    <w:bookmarkStart w:id="143" w:name="page144"/>
    <w:bookmarkEnd w:id="143"/>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AWARD OF RESTRICTED STOCK UNITS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Except as otherwise provided herein, the term of a Restricted Stock Unit award shall be set by the Administrator in its sole discretion.</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value of the consideration shall not be less than the par value of a Share, unless otherwise permitted by Applicable Law.</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7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9.5 </w:t>
      </w:r>
      <w:r>
        <w:rPr>
          <w:rFonts w:ascii="Times New Roman" w:cs="Times New Roman" w:eastAsia="Times New Roman" w:hAnsi="Times New Roman"/>
          <w:sz w:val="22"/>
          <w:szCs w:val="22"/>
          <w:u w:val="single" w:color="auto"/>
          <w:color w:val="auto"/>
        </w:rPr>
        <w:t>Maturity and Payment</w:t>
      </w:r>
      <w:r>
        <w:rPr>
          <w:rFonts w:ascii="Times New Roman" w:cs="Times New Roman" w:eastAsia="Times New Roman" w:hAnsi="Times New Roman"/>
          <w:sz w:val="22"/>
          <w:szCs w:val="22"/>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 (a)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following the end of calendar year in which the Restricted Stock Unit vests; or (b)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9.6 </w:t>
      </w:r>
      <w:r>
        <w:rPr>
          <w:rFonts w:ascii="Times New Roman" w:cs="Times New Roman" w:eastAsia="Times New Roman" w:hAnsi="Times New Roman"/>
          <w:sz w:val="22"/>
          <w:szCs w:val="22"/>
          <w:u w:val="single" w:color="auto"/>
          <w:color w:val="auto"/>
        </w:rPr>
        <w:t>Payment upon Termination of Service</w:t>
      </w:r>
      <w:r>
        <w:rPr>
          <w:rFonts w:ascii="Times New Roman" w:cs="Times New Roman" w:eastAsia="Times New Roman" w:hAnsi="Times New Roman"/>
          <w:sz w:val="22"/>
          <w:szCs w:val="22"/>
          <w:color w:val="auto"/>
        </w:rPr>
        <w:t xml:space="preserve">. An Award of Restricted Stock Units shall only be payable while the Holder is an Employee, a Consultant or a member of the Board,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Administrator, in its sole and absolute discretion may provide (in an Award Agreement or otherwise) that a Restricted Stock Unit award may be paid</w:t>
      </w:r>
    </w:p>
    <w:p>
      <w:pPr>
        <w:spacing w:after="0" w:line="200" w:lineRule="exact"/>
        <w:rPr>
          <w:sz w:val="20"/>
          <w:szCs w:val="20"/>
          <w:color w:val="auto"/>
        </w:rPr>
      </w:pPr>
    </w:p>
    <w:p>
      <w:pPr>
        <w:spacing w:after="0" w:line="2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420" w:top="837" w:right="239" w:bottom="1440" w:gutter="0" w:footer="0" w:header="0"/>
        </w:sectPr>
      </w:pPr>
    </w:p>
    <w:bookmarkStart w:id="144" w:name="page145"/>
    <w:bookmarkEnd w:id="144"/>
    <w:p>
      <w:pPr>
        <w:jc w:val="both"/>
        <w:spacing w:after="0" w:line="271" w:lineRule="auto"/>
        <w:rPr>
          <w:sz w:val="20"/>
          <w:szCs w:val="20"/>
          <w:color w:val="auto"/>
        </w:rPr>
      </w:pPr>
      <w:r>
        <w:rPr>
          <w:rFonts w:ascii="Times New Roman" w:cs="Times New Roman" w:eastAsia="Times New Roman" w:hAnsi="Times New Roman"/>
          <w:sz w:val="22"/>
          <w:szCs w:val="22"/>
          <w:color w:val="auto"/>
        </w:rPr>
        <w:t>subsequent to a Termination of Service in certain events, including a Change in Control, the Holder’s death, retirement or disability or any other specified Termination of Service.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9.7 </w:t>
      </w:r>
      <w:r>
        <w:rPr>
          <w:rFonts w:ascii="Times New Roman" w:cs="Times New Roman" w:eastAsia="Times New Roman" w:hAnsi="Times New Roman"/>
          <w:sz w:val="22"/>
          <w:szCs w:val="22"/>
          <w:u w:val="single" w:color="auto"/>
          <w:color w:val="auto"/>
        </w:rPr>
        <w:t>No Rights as a Stockholder</w:t>
      </w:r>
      <w:r>
        <w:rPr>
          <w:rFonts w:ascii="Times New Roman" w:cs="Times New Roman" w:eastAsia="Times New Roman" w:hAnsi="Times New Roman"/>
          <w:sz w:val="22"/>
          <w:szCs w:val="22"/>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9.8 </w:t>
      </w: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16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60" w:lineRule="exact"/>
        <w:rPr>
          <w:sz w:val="20"/>
          <w:szCs w:val="20"/>
          <w:color w:val="auto"/>
        </w:rPr>
      </w:pPr>
    </w:p>
    <w:p>
      <w:pPr>
        <w:jc w:val="center"/>
        <w:ind w:right="160"/>
        <w:spacing w:after="0" w:line="275" w:lineRule="auto"/>
        <w:rPr>
          <w:sz w:val="20"/>
          <w:szCs w:val="20"/>
          <w:color w:val="auto"/>
        </w:rPr>
      </w:pPr>
      <w:r>
        <w:rPr>
          <w:rFonts w:ascii="Times New Roman" w:cs="Times New Roman" w:eastAsia="Times New Roman" w:hAnsi="Times New Roman"/>
          <w:sz w:val="22"/>
          <w:szCs w:val="22"/>
          <w:b w:val="1"/>
          <w:bCs w:val="1"/>
          <w:color w:val="auto"/>
        </w:rPr>
        <w:t>AWARD OF PERFORMANCE AWARDS, DIVIDEND EQUIVALENTS, STOCK PAYMENTS, DEFERRED STOCK, DEFERRED STOCK UNITS</w:t>
      </w:r>
    </w:p>
    <w:p>
      <w:pPr>
        <w:spacing w:after="0" w:line="154"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u w:val="single" w:color="auto"/>
          <w:color w:val="auto"/>
        </w:rPr>
        <w:t>Performance Awards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125"/>
        <w:spacing w:after="0" w:line="251" w:lineRule="auto"/>
        <w:tabs>
          <w:tab w:leader="none" w:pos="15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81" w:lineRule="exact"/>
        <w:rPr>
          <w:rFonts w:ascii="Times New Roman" w:cs="Times New Roman" w:eastAsia="Times New Roman" w:hAnsi="Times New Roman"/>
          <w:sz w:val="22"/>
          <w:szCs w:val="22"/>
          <w:color w:val="auto"/>
        </w:rPr>
      </w:pPr>
    </w:p>
    <w:p>
      <w:pPr>
        <w:jc w:val="both"/>
        <w:ind w:firstLine="1125"/>
        <w:spacing w:after="0" w:line="268" w:lineRule="auto"/>
        <w:tabs>
          <w:tab w:leader="none" w:pos="160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164"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125"/>
        <w:spacing w:after="0" w:line="253" w:lineRule="auto"/>
        <w:tabs>
          <w:tab w:leader="none" w:pos="155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w:t>
      </w: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420" w:top="369" w:right="239" w:bottom="1440" w:gutter="0" w:footer="0" w:header="0"/>
        </w:sectPr>
      </w:pPr>
    </w:p>
    <w:bookmarkStart w:id="145" w:name="page146"/>
    <w:bookmarkEnd w:id="145"/>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respect to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173" w:lineRule="exact"/>
        <w:rPr>
          <w:sz w:val="20"/>
          <w:szCs w:val="20"/>
          <w:color w:val="auto"/>
        </w:rPr>
      </w:pPr>
    </w:p>
    <w:p>
      <w:pPr>
        <w:ind w:right="20" w:firstLine="1125"/>
        <w:spacing w:after="0" w:line="284" w:lineRule="auto"/>
        <w:tabs>
          <w:tab w:leader="none" w:pos="166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 Dividend Equivalents shall be payable with respect to Options or Stock Appreciation Rights.</w:t>
      </w:r>
    </w:p>
    <w:p>
      <w:pPr>
        <w:spacing w:after="0" w:line="14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u w:val="single" w:color="auto"/>
          <w:color w:val="auto"/>
        </w:rPr>
        <w:t>Stock Payments</w:t>
      </w:r>
      <w:r>
        <w:rPr>
          <w:rFonts w:ascii="Times New Roman" w:cs="Times New Roman" w:eastAsia="Times New Roman" w:hAnsi="Times New Roman"/>
          <w:sz w:val="22"/>
          <w:szCs w:val="22"/>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 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Deferred Stock</w:t>
      </w:r>
      <w:r>
        <w:rPr>
          <w:rFonts w:ascii="Times New Roman" w:cs="Times New Roman" w:eastAsia="Times New Roman" w:hAnsi="Times New Roman"/>
          <w:sz w:val="22"/>
          <w:szCs w:val="22"/>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u w:val="single" w:color="auto"/>
          <w:color w:val="auto"/>
        </w:rPr>
        <w:t>Deferred Stock Units</w:t>
      </w:r>
      <w:r>
        <w:rPr>
          <w:rFonts w:ascii="Times New Roman" w:cs="Times New Roman" w:eastAsia="Times New Roman" w:hAnsi="Times New Roman"/>
          <w:sz w:val="22"/>
          <w:szCs w:val="22"/>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w:t>
      </w:r>
    </w:p>
    <w:p>
      <w:pPr>
        <w:spacing w:after="0" w:line="200" w:lineRule="exact"/>
        <w:rPr>
          <w:sz w:val="20"/>
          <w:szCs w:val="20"/>
          <w:color w:val="auto"/>
        </w:rPr>
      </w:pPr>
    </w:p>
    <w:p>
      <w:pPr>
        <w:spacing w:after="0" w:line="23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420" w:top="369"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color w:val="auto"/>
        </w:rPr>
        <w:t>applicable conditions and/or criteria have been satisfied and the Shares underlying the Award have been issued to the Holder.</w:t>
      </w:r>
    </w:p>
    <w:p>
      <w:pPr>
        <w:spacing w:after="0" w:line="22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a Performance Award, Dividend Equivalent award, Stock Payment award, Deferred Stock award and/or Deferred Stock Unit award shall be set by the Administrator in its sole discretion.</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10.7 </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The Administrator may establish the purchase price of a Performance Award, Shares distributed as a Stock Payment award, shares of Deferred Stock or Shares distributed pursuant to a Deferred Stock Unit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value of the consideration shall not be less than the par value of a Share, unless otherwise permitted by Applicable Law.</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10.8 </w:t>
      </w: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1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60" w:lineRule="exact"/>
        <w:rPr>
          <w:sz w:val="20"/>
          <w:szCs w:val="20"/>
          <w:color w:val="auto"/>
        </w:rPr>
      </w:pPr>
    </w:p>
    <w:p>
      <w:pPr>
        <w:ind w:left="640" w:right="3420" w:firstLine="2618"/>
        <w:spacing w:after="0" w:line="456" w:lineRule="auto"/>
        <w:rPr>
          <w:sz w:val="20"/>
          <w:szCs w:val="20"/>
          <w:color w:val="auto"/>
        </w:rPr>
      </w:pPr>
      <w:r>
        <w:rPr>
          <w:rFonts w:ascii="Times New Roman" w:cs="Times New Roman" w:eastAsia="Times New Roman" w:hAnsi="Times New Roman"/>
          <w:sz w:val="22"/>
          <w:szCs w:val="22"/>
          <w:b w:val="1"/>
          <w:bCs w:val="1"/>
          <w:color w:val="auto"/>
        </w:rPr>
        <w:t xml:space="preserve">AWARD OF STOCK APPRECIATION RIGHTS </w:t>
      </w: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Grant of Stock Appreciation Rights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firstLine="1125"/>
        <w:spacing w:after="0" w:line="284" w:lineRule="auto"/>
        <w:tabs>
          <w:tab w:leader="none" w:pos="155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is authorized to grant Stock Appreciation Rights to Eligible Individuals from time to time, in its sole discretion, on such terms and conditions as it may determine consistent with the Plan.</w:t>
      </w:r>
    </w:p>
    <w:p>
      <w:pPr>
        <w:spacing w:after="0" w:line="144" w:lineRule="exact"/>
        <w:rPr>
          <w:rFonts w:ascii="Times New Roman" w:cs="Times New Roman" w:eastAsia="Times New Roman" w:hAnsi="Times New Roman"/>
          <w:sz w:val="22"/>
          <w:szCs w:val="22"/>
          <w:color w:val="auto"/>
        </w:rPr>
      </w:pPr>
    </w:p>
    <w:p>
      <w:pPr>
        <w:jc w:val="both"/>
        <w:ind w:firstLine="1125"/>
        <w:spacing w:after="0" w:line="249" w:lineRule="auto"/>
        <w:tabs>
          <w:tab w:leader="none" w:pos="15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 Appreciation Right shall entitle the Holder (or other person entitled to exercise the Stock Appreciation Right pursuant to the Plan) to exercise all or a specified portion of the Stock Appreciation 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82" w:lineRule="exact"/>
        <w:rPr>
          <w:rFonts w:ascii="Times New Roman" w:cs="Times New Roman" w:eastAsia="Times New Roman" w:hAnsi="Times New Roman"/>
          <w:sz w:val="22"/>
          <w:szCs w:val="22"/>
          <w:color w:val="auto"/>
        </w:rPr>
      </w:pPr>
    </w:p>
    <w:p>
      <w:pPr>
        <w:jc w:val="both"/>
        <w:ind w:firstLine="1125"/>
        <w:spacing w:after="0" w:line="282" w:lineRule="auto"/>
        <w:tabs>
          <w:tab w:leader="none" w:pos="155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Section 11.1(b) to the contrary, in the case of a Stock Appreciation Right that is a Substitute Award, the price per share of the Shares subject to such Stock Appreciation Right may be less than 100% of the Fair Market Value per share on the date of grant;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excess of: (i) the aggregate Fair Market Value</w:t>
      </w:r>
    </w:p>
    <w:p>
      <w:pPr>
        <w:spacing w:after="0" w:line="3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420" w:top="369" w:right="239" w:bottom="1440" w:gutter="0" w:footer="0" w:header="0"/>
        </w:sectPr>
      </w:pPr>
    </w:p>
    <w:bookmarkStart w:id="147" w:name="page148"/>
    <w:bookmarkEnd w:id="147"/>
    <w:p>
      <w:pPr>
        <w:jc w:val="both"/>
        <w:spacing w:after="0" w:line="250" w:lineRule="auto"/>
        <w:rPr>
          <w:sz w:val="20"/>
          <w:szCs w:val="20"/>
          <w:color w:val="auto"/>
        </w:rPr>
      </w:pPr>
      <w:r>
        <w:rPr>
          <w:rFonts w:ascii="Times New Roman" w:cs="Times New Roman" w:eastAsia="Times New Roman" w:hAnsi="Times New Roman"/>
          <w:sz w:val="22"/>
          <w:szCs w:val="22"/>
          <w:color w:val="auto"/>
        </w:rPr>
        <w:t>(as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8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Stock Appreciation Right Vesting</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125"/>
        <w:spacing w:after="0" w:line="251" w:lineRule="auto"/>
        <w:tabs>
          <w:tab w:leader="none" w:pos="164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81" w:lineRule="exact"/>
        <w:rPr>
          <w:rFonts w:ascii="Times New Roman" w:cs="Times New Roman" w:eastAsia="Times New Roman" w:hAnsi="Times New Roman"/>
          <w:sz w:val="22"/>
          <w:szCs w:val="22"/>
          <w:color w:val="auto"/>
        </w:rPr>
      </w:pPr>
    </w:p>
    <w:p>
      <w:pPr>
        <w:jc w:val="both"/>
        <w:ind w:firstLine="1125"/>
        <w:spacing w:after="0" w:line="263" w:lineRule="auto"/>
        <w:tabs>
          <w:tab w:leader="none" w:pos="166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168" w:lineRule="exact"/>
        <w:rPr>
          <w:sz w:val="20"/>
          <w:szCs w:val="20"/>
          <w:color w:val="auto"/>
        </w:rPr>
      </w:pPr>
    </w:p>
    <w:p>
      <w:pPr>
        <w:jc w:val="both"/>
        <w:ind w:firstLine="1125"/>
        <w:spacing w:after="0" w:line="263" w:lineRule="auto"/>
        <w:tabs>
          <w:tab w:leader="none" w:pos="156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167" w:lineRule="exact"/>
        <w:rPr>
          <w:rFonts w:ascii="Times New Roman" w:cs="Times New Roman" w:eastAsia="Times New Roman" w:hAnsi="Times New Roman"/>
          <w:sz w:val="22"/>
          <w:szCs w:val="22"/>
          <w:color w:val="auto"/>
        </w:rPr>
      </w:pPr>
    </w:p>
    <w:p>
      <w:pPr>
        <w:jc w:val="both"/>
        <w:ind w:firstLine="1125"/>
        <w:spacing w:after="0" w:line="263" w:lineRule="auto"/>
        <w:tabs>
          <w:tab w:leader="none" w:pos="156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67" w:lineRule="exact"/>
        <w:rPr>
          <w:rFonts w:ascii="Times New Roman" w:cs="Times New Roman" w:eastAsia="Times New Roman" w:hAnsi="Times New Roman"/>
          <w:sz w:val="22"/>
          <w:szCs w:val="22"/>
          <w:color w:val="auto"/>
        </w:rPr>
      </w:pPr>
    </w:p>
    <w:p>
      <w:pPr>
        <w:ind w:firstLine="1125"/>
        <w:spacing w:after="0" w:line="309" w:lineRule="auto"/>
        <w:tabs>
          <w:tab w:leader="none" w:pos="156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Stock Appreciation Right shall be exercised pursuant to this Section 11.3 by any person or persons other than the Holder, appropriate proof of the right of such person or persons to exercise the Stock Appreciation Right.</w:t>
      </w:r>
    </w:p>
    <w:p>
      <w:pPr>
        <w:spacing w:after="0" w:line="1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Stock Appreciation Right Term</w:t>
      </w:r>
      <w:r>
        <w:rPr>
          <w:rFonts w:ascii="Times New Roman" w:cs="Times New Roman" w:eastAsia="Times New Roman" w:hAnsi="Times New Roman"/>
          <w:sz w:val="22"/>
          <w:szCs w:val="22"/>
          <w:color w:val="auto"/>
        </w:rPr>
        <w:t>. The term of each Stock Appreciation Right (the “</w:t>
      </w:r>
      <w:r>
        <w:rPr>
          <w:rFonts w:ascii="Times New Roman" w:cs="Times New Roman" w:eastAsia="Times New Roman" w:hAnsi="Times New Roman"/>
          <w:sz w:val="22"/>
          <w:szCs w:val="22"/>
          <w:u w:val="single" w:color="auto"/>
          <w:color w:val="auto"/>
        </w:rPr>
        <w:t>Stock Appreciation Right Term</w:t>
      </w:r>
      <w:r>
        <w:rPr>
          <w:rFonts w:ascii="Times New Roman" w:cs="Times New Roman" w:eastAsia="Times New Roman" w:hAnsi="Times New Roman"/>
          <w:sz w:val="22"/>
          <w:szCs w:val="22"/>
          <w:color w:val="auto"/>
        </w:rPr>
        <w:t xml:space="preserve">”) shall be set by the Administrator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w:t>
      </w: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420" w:top="368" w:right="239" w:bottom="1440" w:gutter="0" w:footer="0" w:header="0"/>
        </w:sectPr>
      </w:pPr>
    </w:p>
    <w:bookmarkStart w:id="148" w:name="page149"/>
    <w:bookmarkEnd w:id="148"/>
    <w:p>
      <w:pPr>
        <w:jc w:val="both"/>
        <w:spacing w:after="0" w:line="249" w:lineRule="auto"/>
        <w:rPr>
          <w:sz w:val="20"/>
          <w:szCs w:val="20"/>
          <w:color w:val="auto"/>
        </w:rPr>
      </w:pPr>
      <w:r>
        <w:rPr>
          <w:rFonts w:ascii="Times New Roman" w:cs="Times New Roman" w:eastAsia="Times New Roman" w:hAnsi="Times New Roman"/>
          <w:sz w:val="22"/>
          <w:szCs w:val="22"/>
          <w:color w:val="auto"/>
        </w:rPr>
        <w:t>Stock Appreciation Rights, which time period may not extend beyond the expiration date of the Stock Appreciation Right Term. Except as limited by the requirements of Section 409A of the 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6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ADDITIONAL TERMS OF AWARDS</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or permitted by law to be withheld with respect to any taxable event concerning a Holder arising as a result of the Plan. The Administrator may, in its sole discretion and subject to such terms and conditions as it may specify, allow or provide for the Company to withhold Shares otherwise issuable under an Award (or allow the surrender of Shares) in payment of such tax withholding. The number of Shares which may be so withheld or surrendered shall</w:t>
      </w: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420" w:top="369" w:right="239" w:bottom="1440" w:gutter="0" w:footer="0" w:header="0"/>
        </w:sectPr>
      </w:pPr>
    </w:p>
    <w:bookmarkStart w:id="149" w:name="page150"/>
    <w:bookmarkEnd w:id="149"/>
    <w:p>
      <w:pPr>
        <w:jc w:val="both"/>
        <w:spacing w:after="0" w:line="248" w:lineRule="auto"/>
        <w:rPr>
          <w:sz w:val="20"/>
          <w:szCs w:val="20"/>
          <w:color w:val="auto"/>
        </w:rPr>
      </w:pPr>
      <w:r>
        <w:rPr>
          <w:rFonts w:ascii="Times New Roman" w:cs="Times New Roman" w:eastAsia="Times New Roman" w:hAnsi="Times New Roman"/>
          <w:sz w:val="22"/>
          <w:szCs w:val="22"/>
          <w:color w:val="auto"/>
        </w:rPr>
        <w:t>be limited to the number of Shares which have a Fair Market Value on the date of withholding or repurchase sufficient to satisfy the maximum statutory withholding rates for federal, state, local and foreign income tax and payroll tax purposes that are applicable to such supplemental taxable income. The Administrator shall determine the fair market value of the Shares, consistent with any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Pursuant to Section 3.1(b)(ii), any such Shares withheld or surrendered will not be available for future grants of Awards under the Plan.</w:t>
      </w:r>
    </w:p>
    <w:p>
      <w:pPr>
        <w:spacing w:after="0" w:line="182"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u w:val="single" w:color="auto"/>
          <w:color w:val="auto"/>
        </w:rPr>
        <w:t>Transferability of Awards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540" w:hanging="415"/>
        <w:spacing w:after="0"/>
        <w:tabs>
          <w:tab w:leader="none" w:pos="15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12.3(b):</w:t>
      </w:r>
    </w:p>
    <w:p>
      <w:pPr>
        <w:spacing w:after="0" w:line="233" w:lineRule="exact"/>
        <w:rPr>
          <w:rFonts w:ascii="Times New Roman" w:cs="Times New Roman" w:eastAsia="Times New Roman" w:hAnsi="Times New Roman"/>
          <w:sz w:val="22"/>
          <w:szCs w:val="22"/>
          <w:color w:val="auto"/>
        </w:rPr>
      </w:pPr>
    </w:p>
    <w:p>
      <w:pPr>
        <w:jc w:val="both"/>
        <w:ind w:firstLine="1773"/>
        <w:spacing w:after="0" w:line="257" w:lineRule="auto"/>
        <w:tabs>
          <w:tab w:leader="none" w:pos="216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72" w:lineRule="exact"/>
        <w:rPr>
          <w:rFonts w:ascii="Times New Roman" w:cs="Times New Roman" w:eastAsia="Times New Roman" w:hAnsi="Times New Roman"/>
          <w:sz w:val="22"/>
          <w:szCs w:val="22"/>
          <w:color w:val="auto"/>
        </w:rPr>
      </w:pPr>
    </w:p>
    <w:p>
      <w:pPr>
        <w:jc w:val="both"/>
        <w:ind w:firstLine="1773"/>
        <w:spacing w:after="0" w:line="251" w:lineRule="auto"/>
        <w:tabs>
          <w:tab w:leader="none" w:pos="233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Award or interest or right therein shall be liable for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81" w:lineRule="exact"/>
        <w:rPr>
          <w:rFonts w:ascii="Times New Roman" w:cs="Times New Roman" w:eastAsia="Times New Roman" w:hAnsi="Times New Roman"/>
          <w:sz w:val="22"/>
          <w:szCs w:val="22"/>
          <w:color w:val="auto"/>
        </w:rPr>
      </w:pPr>
    </w:p>
    <w:p>
      <w:pPr>
        <w:jc w:val="both"/>
        <w:ind w:firstLine="1773"/>
        <w:spacing w:after="0" w:line="253" w:lineRule="auto"/>
        <w:tabs>
          <w:tab w:leader="none" w:pos="238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179" w:lineRule="exact"/>
        <w:rPr>
          <w:rFonts w:ascii="Times New Roman" w:cs="Times New Roman" w:eastAsia="Times New Roman" w:hAnsi="Times New Roman"/>
          <w:sz w:val="22"/>
          <w:szCs w:val="22"/>
          <w:color w:val="auto"/>
        </w:rPr>
      </w:pPr>
    </w:p>
    <w:p>
      <w:pPr>
        <w:jc w:val="both"/>
        <w:ind w:firstLine="1125"/>
        <w:spacing w:after="0" w:line="250" w:lineRule="auto"/>
        <w:tabs>
          <w:tab w:leader="none" w:pos="159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w:t>
      </w: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420" w:top="369" w:right="239" w:bottom="1440" w:gutter="0" w:footer="0" w:header="0"/>
        </w:sectPr>
      </w:pPr>
    </w:p>
    <w:bookmarkStart w:id="150" w:name="page151"/>
    <w:bookmarkEnd w:id="150"/>
    <w:p>
      <w:pPr>
        <w:spacing w:after="0" w:line="271" w:lineRule="auto"/>
        <w:rPr>
          <w:sz w:val="20"/>
          <w:szCs w:val="20"/>
          <w:color w:val="auto"/>
        </w:rPr>
      </w:pPr>
      <w:r>
        <w:rPr>
          <w:rFonts w:ascii="Times New Roman" w:cs="Times New Roman" w:eastAsia="Times New Roman" w:hAnsi="Times New Roman"/>
          <w:sz w:val="22"/>
          <w:szCs w:val="22"/>
          <w:color w:val="auto"/>
        </w:rPr>
        <w:t>the status of the transferee as a Permitted Transferee, (B) satisfy any requirements for an exemption for the transfer under Applicable Law and (C) evidence the transfer.</w:t>
      </w:r>
    </w:p>
    <w:p>
      <w:pPr>
        <w:spacing w:after="0" w:line="158" w:lineRule="exact"/>
        <w:rPr>
          <w:sz w:val="20"/>
          <w:szCs w:val="20"/>
          <w:color w:val="auto"/>
        </w:rPr>
      </w:pPr>
    </w:p>
    <w:p>
      <w:pPr>
        <w:jc w:val="both"/>
        <w:ind w:firstLine="1125"/>
        <w:spacing w:after="0" w:line="259" w:lineRule="auto"/>
        <w:tabs>
          <w:tab w:leader="none" w:pos="163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change or revocation is filed with the Administrator prior to the Holder’s death.</w:t>
      </w:r>
    </w:p>
    <w:p>
      <w:pPr>
        <w:spacing w:after="0" w:line="182"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u w:val="single" w:color="auto"/>
          <w:color w:val="auto"/>
        </w:rPr>
        <w:t>Conditions to Issuance of Shares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125"/>
        <w:spacing w:after="0" w:line="250" w:lineRule="auto"/>
        <w:tabs>
          <w:tab w:leader="none" w:pos="164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181" w:lineRule="exact"/>
        <w:rPr>
          <w:rFonts w:ascii="Times New Roman" w:cs="Times New Roman" w:eastAsia="Times New Roman" w:hAnsi="Times New Roman"/>
          <w:sz w:val="22"/>
          <w:szCs w:val="22"/>
          <w:color w:val="auto"/>
        </w:rPr>
      </w:pPr>
    </w:p>
    <w:p>
      <w:pPr>
        <w:jc w:val="both"/>
        <w:ind w:firstLine="1125"/>
        <w:spacing w:after="0" w:line="257" w:lineRule="auto"/>
        <w:tabs>
          <w:tab w:leader="none" w:pos="156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72" w:lineRule="exact"/>
        <w:rPr>
          <w:rFonts w:ascii="Times New Roman" w:cs="Times New Roman" w:eastAsia="Times New Roman" w:hAnsi="Times New Roman"/>
          <w:sz w:val="22"/>
          <w:szCs w:val="22"/>
          <w:color w:val="auto"/>
        </w:rPr>
      </w:pPr>
    </w:p>
    <w:p>
      <w:pPr>
        <w:jc w:val="both"/>
        <w:ind w:firstLine="1125"/>
        <w:spacing w:after="0" w:line="263" w:lineRule="auto"/>
        <w:tabs>
          <w:tab w:leader="none" w:pos="162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67" w:lineRule="exact"/>
        <w:rPr>
          <w:rFonts w:ascii="Times New Roman" w:cs="Times New Roman" w:eastAsia="Times New Roman" w:hAnsi="Times New Roman"/>
          <w:sz w:val="22"/>
          <w:szCs w:val="22"/>
          <w:color w:val="auto"/>
        </w:rPr>
      </w:pPr>
    </w:p>
    <w:p>
      <w:pPr>
        <w:ind w:firstLine="1125"/>
        <w:spacing w:after="0" w:line="284" w:lineRule="auto"/>
        <w:tabs>
          <w:tab w:leader="none" w:pos="159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38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420" w:top="369" w:right="239" w:bottom="1440" w:gutter="0" w:footer="0" w:header="0"/>
        </w:sectPr>
      </w:pPr>
    </w:p>
    <w:bookmarkStart w:id="151" w:name="page152"/>
    <w:bookmarkEnd w:id="151"/>
    <w:p>
      <w:pPr>
        <w:jc w:val="both"/>
        <w:ind w:firstLine="1125"/>
        <w:spacing w:after="0" w:line="257" w:lineRule="auto"/>
        <w:tabs>
          <w:tab w:leader="none" w:pos="15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u w:val="single" w:color="auto"/>
          <w:color w:val="auto"/>
        </w:rPr>
        <w:t>Forfeiture and Claw-Back Provisions</w:t>
      </w:r>
      <w:r>
        <w:rPr>
          <w:rFonts w:ascii="Times New Roman" w:cs="Times New Roman" w:eastAsia="Times New Roman" w:hAnsi="Times New Roman"/>
          <w:sz w:val="22"/>
          <w:szCs w:val="22"/>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68" w:lineRule="exact"/>
        <w:rPr>
          <w:sz w:val="20"/>
          <w:szCs w:val="20"/>
          <w:color w:val="auto"/>
        </w:rPr>
      </w:pPr>
    </w:p>
    <w:p>
      <w:pPr>
        <w:jc w:val="both"/>
        <w:ind w:firstLine="1125"/>
        <w:spacing w:after="0" w:line="249" w:lineRule="auto"/>
        <w:tabs>
          <w:tab w:leader="none" w:pos="15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182" w:lineRule="exact"/>
        <w:rPr>
          <w:rFonts w:ascii="Times New Roman" w:cs="Times New Roman" w:eastAsia="Times New Roman" w:hAnsi="Times New Roman"/>
          <w:sz w:val="22"/>
          <w:szCs w:val="22"/>
          <w:color w:val="auto"/>
        </w:rPr>
      </w:pPr>
    </w:p>
    <w:p>
      <w:pPr>
        <w:jc w:val="both"/>
        <w:ind w:firstLine="1125"/>
        <w:spacing w:after="0" w:line="251" w:lineRule="auto"/>
        <w:tabs>
          <w:tab w:leader="none" w:pos="15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420" w:top="368" w:right="239" w:bottom="1440" w:gutter="0" w:footer="0" w:header="0"/>
        </w:sectPr>
      </w:pPr>
    </w:p>
    <w:bookmarkStart w:id="152" w:name="page153"/>
    <w:bookmarkEnd w:id="152"/>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u w:val="single" w:color="auto"/>
          <w:color w:val="auto"/>
        </w:rPr>
        <w:t>Prohibition on Repricing</w:t>
      </w:r>
      <w:r>
        <w:rPr>
          <w:rFonts w:ascii="Times New Roman" w:cs="Times New Roman" w:eastAsia="Times New Roman" w:hAnsi="Times New Roman"/>
          <w:sz w:val="22"/>
          <w:szCs w:val="22"/>
          <w:color w:val="auto"/>
        </w:rPr>
        <w:t>. Subject to Section 14.2,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1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xml:space="preserve">.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 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Duties and Powers of Committee</w:t>
      </w:r>
      <w:r>
        <w:rPr>
          <w:rFonts w:ascii="Times New Roman" w:cs="Times New Roman" w:eastAsia="Times New Roman" w:hAnsi="Times New Roman"/>
          <w:sz w:val="22"/>
          <w:szCs w:val="22"/>
          <w:color w:val="auto"/>
        </w:rPr>
        <w:t xml:space="preserve">.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rights or obligations of the Holder of the Award that is the subject</w:t>
      </w: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420" w:top="369" w:right="239" w:bottom="1440" w:gutter="0" w:footer="0" w:header="0"/>
        </w:sectPr>
      </w:pPr>
    </w:p>
    <w:bookmarkStart w:id="153" w:name="page154"/>
    <w:bookmarkEnd w:id="153"/>
    <w:p>
      <w:pPr>
        <w:jc w:val="both"/>
        <w:spacing w:after="0" w:line="260" w:lineRule="exact"/>
        <w:rPr>
          <w:sz w:val="20"/>
          <w:szCs w:val="20"/>
          <w:color w:val="auto"/>
        </w:rPr>
      </w:pPr>
      <w:r>
        <w:rPr>
          <w:rFonts w:ascii="Times New Roman" w:cs="Times New Roman" w:eastAsia="Times New Roman" w:hAnsi="Times New Roman"/>
          <w:sz w:val="22"/>
          <w:szCs w:val="22"/>
          <w:color w:val="auto"/>
        </w:rPr>
        <w:t>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u w:val="single" w:color="auto"/>
          <w:color w:val="auto"/>
        </w:rPr>
        <w:t>Action by the Committee</w:t>
      </w:r>
      <w:r>
        <w:rPr>
          <w:rFonts w:ascii="Times New Roman" w:cs="Times New Roman" w:eastAsia="Times New Roman" w:hAnsi="Times New Roman"/>
          <w:sz w:val="22"/>
          <w:szCs w:val="22"/>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u w:val="single" w:color="auto"/>
          <w:color w:val="auto"/>
        </w:rPr>
        <w:t>Authority of Administrator</w:t>
      </w:r>
      <w:r>
        <w:rPr>
          <w:rFonts w:ascii="Times New Roman" w:cs="Times New Roman" w:eastAsia="Times New Roman" w:hAnsi="Times New Roman"/>
          <w:sz w:val="22"/>
          <w:szCs w:val="22"/>
          <w:color w:val="auto"/>
        </w:rPr>
        <w:t>. Subject to the Company’s Bylaws, the Committee’s Charter and any specific designation in the Plan, the Administrator has the exclusive power, authority and sole discretion to:</w:t>
      </w:r>
    </w:p>
    <w:p>
      <w:pPr>
        <w:spacing w:after="0" w:line="144" w:lineRule="exact"/>
        <w:rPr>
          <w:sz w:val="20"/>
          <w:szCs w:val="20"/>
          <w:color w:val="auto"/>
        </w:rPr>
      </w:pPr>
    </w:p>
    <w:p>
      <w:pPr>
        <w:ind w:left="1540" w:hanging="415"/>
        <w:spacing w:after="0"/>
        <w:tabs>
          <w:tab w:leader="none" w:pos="15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Eligible Individuals to receive Awards;</w:t>
      </w:r>
    </w:p>
    <w:p>
      <w:pPr>
        <w:spacing w:after="0" w:line="233" w:lineRule="exact"/>
        <w:rPr>
          <w:rFonts w:ascii="Times New Roman" w:cs="Times New Roman" w:eastAsia="Times New Roman" w:hAnsi="Times New Roman"/>
          <w:sz w:val="22"/>
          <w:szCs w:val="22"/>
          <w:color w:val="auto"/>
        </w:rPr>
      </w:pPr>
    </w:p>
    <w:p>
      <w:pPr>
        <w:ind w:left="1560" w:hanging="435"/>
        <w:spacing w:after="0"/>
        <w:tabs>
          <w:tab w:leader="none" w:pos="15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type or types of Awards to be granted to each Eligible Individual;</w:t>
      </w:r>
    </w:p>
    <w:p>
      <w:pPr>
        <w:spacing w:after="0" w:line="233" w:lineRule="exact"/>
        <w:rPr>
          <w:rFonts w:ascii="Times New Roman" w:cs="Times New Roman" w:eastAsia="Times New Roman" w:hAnsi="Times New Roman"/>
          <w:sz w:val="22"/>
          <w:szCs w:val="22"/>
          <w:color w:val="auto"/>
        </w:rPr>
      </w:pPr>
    </w:p>
    <w:p>
      <w:pPr>
        <w:ind w:left="1540" w:hanging="415"/>
        <w:spacing w:after="0"/>
        <w:tabs>
          <w:tab w:leader="none" w:pos="15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Awards to be granted and the number of Shares to which an Award will relate;</w:t>
      </w:r>
    </w:p>
    <w:p>
      <w:pPr>
        <w:spacing w:after="0" w:line="233" w:lineRule="exact"/>
        <w:rPr>
          <w:rFonts w:ascii="Times New Roman" w:cs="Times New Roman" w:eastAsia="Times New Roman" w:hAnsi="Times New Roman"/>
          <w:sz w:val="22"/>
          <w:szCs w:val="22"/>
          <w:color w:val="auto"/>
        </w:rPr>
      </w:pPr>
    </w:p>
    <w:p>
      <w:pPr>
        <w:jc w:val="both"/>
        <w:ind w:firstLine="1125"/>
        <w:spacing w:after="0" w:line="253" w:lineRule="auto"/>
        <w:tabs>
          <w:tab w:leader="none" w:pos="16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79" w:lineRule="exact"/>
        <w:rPr>
          <w:rFonts w:ascii="Times New Roman" w:cs="Times New Roman" w:eastAsia="Times New Roman" w:hAnsi="Times New Roman"/>
          <w:sz w:val="22"/>
          <w:szCs w:val="22"/>
          <w:color w:val="auto"/>
        </w:rPr>
      </w:pPr>
    </w:p>
    <w:p>
      <w:pPr>
        <w:jc w:val="both"/>
        <w:ind w:firstLine="1125"/>
        <w:spacing w:after="0" w:line="263" w:lineRule="auto"/>
        <w:tabs>
          <w:tab w:leader="none" w:pos="164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67" w:lineRule="exact"/>
        <w:rPr>
          <w:rFonts w:ascii="Times New Roman" w:cs="Times New Roman" w:eastAsia="Times New Roman" w:hAnsi="Times New Roman"/>
          <w:sz w:val="22"/>
          <w:szCs w:val="22"/>
          <w:color w:val="auto"/>
        </w:rPr>
      </w:pPr>
    </w:p>
    <w:p>
      <w:pPr>
        <w:ind w:left="1740" w:hanging="615"/>
        <w:spacing w:after="0"/>
        <w:tabs>
          <w:tab w:leader="none" w:pos="17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form of each Award Agreement, which need not be identical for each Holder;</w:t>
      </w: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420" w:top="369" w:right="239" w:bottom="1440" w:gutter="0" w:footer="0" w:header="0"/>
        </w:sectPr>
      </w:pPr>
    </w:p>
    <w:bookmarkStart w:id="154" w:name="page155"/>
    <w:bookmarkEnd w:id="154"/>
    <w:p>
      <w:pPr>
        <w:ind w:left="1560" w:hanging="435"/>
        <w:spacing w:after="0"/>
        <w:tabs>
          <w:tab w:leader="none" w:pos="15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Decide all other matters that must be determined in connection with an Award;</w:t>
      </w:r>
    </w:p>
    <w:p>
      <w:pPr>
        <w:spacing w:after="0" w:line="233" w:lineRule="exact"/>
        <w:rPr>
          <w:rFonts w:ascii="Times New Roman" w:cs="Times New Roman" w:eastAsia="Times New Roman" w:hAnsi="Times New Roman"/>
          <w:sz w:val="22"/>
          <w:szCs w:val="22"/>
          <w:color w:val="auto"/>
        </w:rPr>
      </w:pPr>
    </w:p>
    <w:p>
      <w:pPr>
        <w:ind w:left="1620" w:hanging="495"/>
        <w:spacing w:after="0"/>
        <w:tabs>
          <w:tab w:leader="none" w:pos="16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adopt, or revise any rules and regulations as it may deem necessary or advisable to administer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w:t>
      </w:r>
    </w:p>
    <w:p>
      <w:pPr>
        <w:spacing w:after="0" w:line="207" w:lineRule="exact"/>
        <w:rPr>
          <w:sz w:val="20"/>
          <w:szCs w:val="20"/>
          <w:color w:val="auto"/>
        </w:rPr>
      </w:pPr>
    </w:p>
    <w:p>
      <w:pPr>
        <w:ind w:left="1720" w:hanging="595"/>
        <w:spacing w:after="0"/>
        <w:tabs>
          <w:tab w:leader="none" w:pos="17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the terms of, and any matter arising pursuant to, the Plan, any Program or any Award Agreement;</w:t>
      </w:r>
    </w:p>
    <w:p>
      <w:pPr>
        <w:spacing w:after="0" w:line="233" w:lineRule="exact"/>
        <w:rPr>
          <w:rFonts w:ascii="Times New Roman" w:cs="Times New Roman" w:eastAsia="Times New Roman" w:hAnsi="Times New Roman"/>
          <w:sz w:val="22"/>
          <w:szCs w:val="22"/>
          <w:color w:val="auto"/>
        </w:rPr>
      </w:pPr>
    </w:p>
    <w:p>
      <w:pPr>
        <w:ind w:firstLine="1125"/>
        <w:spacing w:after="0" w:line="284" w:lineRule="auto"/>
        <w:tabs>
          <w:tab w:leader="none" w:pos="17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other decisions and determinations that may be required pursuant to the Plan or as the Administrator deems necessary or advisable to administer the Plan; and</w:t>
      </w:r>
    </w:p>
    <w:p>
      <w:pPr>
        <w:spacing w:after="0" w:line="144" w:lineRule="exact"/>
        <w:rPr>
          <w:rFonts w:ascii="Times New Roman" w:cs="Times New Roman" w:eastAsia="Times New Roman" w:hAnsi="Times New Roman"/>
          <w:sz w:val="22"/>
          <w:szCs w:val="22"/>
          <w:color w:val="auto"/>
        </w:rPr>
      </w:pPr>
    </w:p>
    <w:p>
      <w:pPr>
        <w:ind w:firstLine="1125"/>
        <w:spacing w:after="0" w:line="284" w:lineRule="auto"/>
        <w:tabs>
          <w:tab w:leader="none" w:pos="16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wholly or partially the vesting or lapse of restrictions of any Award or portion thereof at any time after the grant of an Award, subject to whatever terms and conditions it selects and Section 14.2.</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u w:val="single" w:color="auto"/>
          <w:color w:val="auto"/>
        </w:rPr>
        <w:t>Decisions Binding</w:t>
      </w:r>
      <w:r>
        <w:rPr>
          <w:rFonts w:ascii="Times New Roman" w:cs="Times New Roman" w:eastAsia="Times New Roman" w:hAnsi="Times New Roman"/>
          <w:sz w:val="22"/>
          <w:szCs w:val="22"/>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6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xml:space="preserve">.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1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6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w:t>
      </w: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420" w:top="369" w:right="239" w:bottom="1440" w:gutter="0" w:footer="0" w:header="0"/>
        </w:sectPr>
      </w:pPr>
    </w:p>
    <w:bookmarkStart w:id="155" w:name="page156"/>
    <w:bookmarkEnd w:id="155"/>
    <w:p>
      <w:pPr>
        <w:jc w:val="both"/>
        <w:spacing w:after="0" w:line="238" w:lineRule="auto"/>
        <w:rPr>
          <w:sz w:val="20"/>
          <w:szCs w:val="20"/>
          <w:color w:val="auto"/>
        </w:rPr>
      </w:pPr>
      <w:r>
        <w:rPr>
          <w:rFonts w:ascii="Times New Roman" w:cs="Times New Roman" w:eastAsia="Times New Roman" w:hAnsi="Times New Roman"/>
          <w:sz w:val="22"/>
          <w:szCs w:val="22"/>
          <w:color w:val="auto"/>
        </w:rPr>
        <w:t>under the Plan,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Effective Date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Any Awards that are outstanding on the Expiration Date shall remain in force according to the terms of the Plan and the applicable Award Agreement.</w:t>
      </w:r>
    </w:p>
    <w:p>
      <w:pPr>
        <w:spacing w:after="0" w:line="19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Changes in Common Stock or Assets of the Company, Acquisition or Liquidation of the Company and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Events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1125"/>
        <w:spacing w:after="0" w:line="247" w:lineRule="auto"/>
        <w:tabs>
          <w:tab w:leader="none" w:pos="163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192" w:lineRule="exact"/>
        <w:rPr>
          <w:rFonts w:ascii="Times New Roman" w:cs="Times New Roman" w:eastAsia="Times New Roman" w:hAnsi="Times New Roman"/>
          <w:sz w:val="22"/>
          <w:szCs w:val="22"/>
          <w:color w:val="auto"/>
        </w:rPr>
      </w:pPr>
    </w:p>
    <w:p>
      <w:pPr>
        <w:jc w:val="both"/>
        <w:ind w:firstLine="1125"/>
        <w:spacing w:after="0" w:line="262" w:lineRule="auto"/>
        <w:tabs>
          <w:tab w:leader="none" w:pos="156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73" w:lineRule="exact"/>
        <w:rPr>
          <w:rFonts w:ascii="Times New Roman" w:cs="Times New Roman" w:eastAsia="Times New Roman" w:hAnsi="Times New Roman"/>
          <w:sz w:val="21"/>
          <w:szCs w:val="21"/>
          <w:color w:val="auto"/>
        </w:rPr>
      </w:pPr>
    </w:p>
    <w:p>
      <w:pPr>
        <w:jc w:val="both"/>
        <w:ind w:firstLine="1773"/>
        <w:spacing w:after="0" w:line="282" w:lineRule="auto"/>
        <w:tabs>
          <w:tab w:leader="none" w:pos="216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w:t>
      </w:r>
    </w:p>
    <w:p>
      <w:pPr>
        <w:spacing w:after="0" w:line="3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420" w:top="369" w:right="239" w:bottom="1440" w:gutter="0" w:footer="0" w:header="0"/>
        </w:sectPr>
      </w:pPr>
    </w:p>
    <w:bookmarkStart w:id="156" w:name="page157"/>
    <w:bookmarkEnd w:id="156"/>
    <w:p>
      <w:pPr>
        <w:jc w:val="both"/>
        <w:spacing w:after="0" w:line="250" w:lineRule="auto"/>
        <w:rPr>
          <w:sz w:val="20"/>
          <w:szCs w:val="20"/>
          <w:color w:val="auto"/>
        </w:rPr>
      </w:pPr>
      <w:r>
        <w:rPr>
          <w:rFonts w:ascii="Times New Roman" w:cs="Times New Roman" w:eastAsia="Times New Roman" w:hAnsi="Times New Roman"/>
          <w:sz w:val="22"/>
          <w:szCs w:val="22"/>
          <w:color w:val="auto"/>
        </w:rPr>
        <w:t>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81" w:lineRule="exact"/>
        <w:rPr>
          <w:sz w:val="20"/>
          <w:szCs w:val="20"/>
          <w:color w:val="auto"/>
        </w:rPr>
      </w:pPr>
    </w:p>
    <w:p>
      <w:pPr>
        <w:jc w:val="both"/>
        <w:ind w:firstLine="1773"/>
        <w:spacing w:after="0" w:line="282" w:lineRule="auto"/>
        <w:tabs>
          <w:tab w:leader="none" w:pos="237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48" w:lineRule="exact"/>
        <w:rPr>
          <w:rFonts w:ascii="Times New Roman" w:cs="Times New Roman" w:eastAsia="Times New Roman" w:hAnsi="Times New Roman"/>
          <w:sz w:val="21"/>
          <w:szCs w:val="21"/>
          <w:color w:val="auto"/>
        </w:rPr>
      </w:pPr>
    </w:p>
    <w:p>
      <w:pPr>
        <w:jc w:val="both"/>
        <w:ind w:firstLine="1773"/>
        <w:spacing w:after="0" w:line="257" w:lineRule="auto"/>
        <w:tabs>
          <w:tab w:leader="none" w:pos="2314"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72" w:lineRule="exact"/>
        <w:rPr>
          <w:rFonts w:ascii="Times New Roman" w:cs="Times New Roman" w:eastAsia="Times New Roman" w:hAnsi="Times New Roman"/>
          <w:sz w:val="22"/>
          <w:szCs w:val="22"/>
          <w:color w:val="auto"/>
        </w:rPr>
      </w:pPr>
    </w:p>
    <w:p>
      <w:pPr>
        <w:ind w:firstLine="1773"/>
        <w:spacing w:after="0" w:line="284" w:lineRule="auto"/>
        <w:tabs>
          <w:tab w:leader="none" w:pos="232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44" w:lineRule="exact"/>
        <w:rPr>
          <w:rFonts w:ascii="Times New Roman" w:cs="Times New Roman" w:eastAsia="Times New Roman" w:hAnsi="Times New Roman"/>
          <w:sz w:val="22"/>
          <w:szCs w:val="22"/>
          <w:color w:val="auto"/>
        </w:rPr>
      </w:pPr>
    </w:p>
    <w:p>
      <w:pPr>
        <w:ind w:left="2200" w:hanging="427"/>
        <w:spacing w:after="0"/>
        <w:tabs>
          <w:tab w:leader="none" w:pos="22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that the Award cannot vest, be exercised or become payable after such event.</w:t>
      </w:r>
    </w:p>
    <w:p>
      <w:pPr>
        <w:spacing w:after="0" w:line="233" w:lineRule="exact"/>
        <w:rPr>
          <w:rFonts w:ascii="Times New Roman" w:cs="Times New Roman" w:eastAsia="Times New Roman" w:hAnsi="Times New Roman"/>
          <w:sz w:val="22"/>
          <w:szCs w:val="22"/>
          <w:color w:val="auto"/>
        </w:rPr>
      </w:pPr>
    </w:p>
    <w:p>
      <w:pPr>
        <w:ind w:firstLine="1125"/>
        <w:spacing w:after="0" w:line="284" w:lineRule="auto"/>
        <w:tabs>
          <w:tab w:leader="none" w:pos="156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occurrence of any Equity Restructuring, and notwithstanding anything to the contrary in Sections 14.2(a) and 14.2(b):</w:t>
      </w:r>
    </w:p>
    <w:p>
      <w:pPr>
        <w:spacing w:after="0" w:line="144" w:lineRule="exact"/>
        <w:rPr>
          <w:rFonts w:ascii="Times New Roman" w:cs="Times New Roman" w:eastAsia="Times New Roman" w:hAnsi="Times New Roman"/>
          <w:sz w:val="22"/>
          <w:szCs w:val="22"/>
          <w:color w:val="auto"/>
        </w:rPr>
      </w:pPr>
    </w:p>
    <w:p>
      <w:pPr>
        <w:ind w:firstLine="1773"/>
        <w:spacing w:after="0" w:line="284" w:lineRule="auto"/>
        <w:tabs>
          <w:tab w:leader="none" w:pos="2247"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and type of securities subject to each outstanding Award and the exercise price or grant price thereof, if applicable, shall be equitably adjusted; and/or</w:t>
      </w:r>
    </w:p>
    <w:p>
      <w:pPr>
        <w:spacing w:after="0" w:line="144" w:lineRule="exact"/>
        <w:rPr>
          <w:rFonts w:ascii="Times New Roman" w:cs="Times New Roman" w:eastAsia="Times New Roman" w:hAnsi="Times New Roman"/>
          <w:sz w:val="22"/>
          <w:szCs w:val="22"/>
          <w:color w:val="auto"/>
        </w:rPr>
      </w:pPr>
    </w:p>
    <w:p>
      <w:pPr>
        <w:jc w:val="both"/>
        <w:ind w:firstLine="1773"/>
        <w:spacing w:after="0" w:line="268" w:lineRule="auto"/>
        <w:tabs>
          <w:tab w:leader="none" w:pos="2267"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164" w:lineRule="exact"/>
        <w:rPr>
          <w:rFonts w:ascii="Times New Roman" w:cs="Times New Roman" w:eastAsia="Times New Roman" w:hAnsi="Times New Roman"/>
          <w:sz w:val="21"/>
          <w:szCs w:val="21"/>
          <w:color w:val="auto"/>
        </w:rPr>
      </w:pPr>
    </w:p>
    <w:p>
      <w:pPr>
        <w:jc w:val="both"/>
        <w:ind w:firstLine="1125"/>
        <w:spacing w:after="0" w:line="251" w:lineRule="auto"/>
        <w:tabs>
          <w:tab w:leader="none" w:pos="160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w:t>
      </w:r>
    </w:p>
    <w:p>
      <w:pPr>
        <w:spacing w:after="0" w:line="200" w:lineRule="exact"/>
        <w:rPr>
          <w:sz w:val="20"/>
          <w:szCs w:val="20"/>
          <w:color w:val="auto"/>
        </w:rPr>
      </w:pP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420" w:top="369" w:right="239" w:bottom="1440" w:gutter="0" w:footer="0" w:header="0"/>
        </w:sectPr>
      </w:pPr>
    </w:p>
    <w:bookmarkStart w:id="157" w:name="page158"/>
    <w:bookmarkEnd w:id="157"/>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193" w:lineRule="exact"/>
        <w:rPr>
          <w:sz w:val="20"/>
          <w:szCs w:val="20"/>
          <w:color w:val="auto"/>
        </w:rPr>
      </w:pPr>
    </w:p>
    <w:p>
      <w:pPr>
        <w:jc w:val="both"/>
        <w:ind w:firstLine="1125"/>
        <w:spacing w:after="0" w:line="263" w:lineRule="auto"/>
        <w:tabs>
          <w:tab w:leader="none" w:pos="1635"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67" w:lineRule="exact"/>
        <w:rPr>
          <w:rFonts w:ascii="Times New Roman" w:cs="Times New Roman" w:eastAsia="Times New Roman" w:hAnsi="Times New Roman"/>
          <w:sz w:val="22"/>
          <w:szCs w:val="22"/>
          <w:color w:val="auto"/>
        </w:rPr>
      </w:pPr>
    </w:p>
    <w:p>
      <w:pPr>
        <w:jc w:val="both"/>
        <w:ind w:firstLine="1125"/>
        <w:spacing w:after="0" w:line="262" w:lineRule="auto"/>
        <w:tabs>
          <w:tab w:leader="none" w:pos="1571"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73" w:lineRule="exact"/>
        <w:rPr>
          <w:rFonts w:ascii="Times New Roman" w:cs="Times New Roman" w:eastAsia="Times New Roman" w:hAnsi="Times New Roman"/>
          <w:sz w:val="21"/>
          <w:szCs w:val="21"/>
          <w:color w:val="auto"/>
        </w:rPr>
      </w:pPr>
    </w:p>
    <w:p>
      <w:pPr>
        <w:jc w:val="both"/>
        <w:ind w:firstLine="1125"/>
        <w:spacing w:after="0" w:line="250" w:lineRule="auto"/>
        <w:tabs>
          <w:tab w:leader="none" w:pos="166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420" w:top="369" w:right="239" w:bottom="1440" w:gutter="0" w:footer="0" w:header="0"/>
        </w:sectPr>
      </w:pPr>
    </w:p>
    <w:bookmarkStart w:id="158" w:name="page159"/>
    <w:bookmarkEnd w:id="158"/>
    <w:p>
      <w:pPr>
        <w:ind w:firstLine="1125"/>
        <w:spacing w:after="0" w:line="284" w:lineRule="auto"/>
        <w:tabs>
          <w:tab w:leader="none" w:pos="163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action shall be taken under this Section 14.2 which shall cause an Award to fail to comply with Section 409A of the Code or the Treasury Regulations thereunder, to the extent applicable to such Award.</w:t>
      </w:r>
    </w:p>
    <w:p>
      <w:pPr>
        <w:spacing w:after="0" w:line="144" w:lineRule="exact"/>
        <w:rPr>
          <w:rFonts w:ascii="Times New Roman" w:cs="Times New Roman" w:eastAsia="Times New Roman" w:hAnsi="Times New Roman"/>
          <w:sz w:val="22"/>
          <w:szCs w:val="22"/>
          <w:color w:val="auto"/>
        </w:rPr>
      </w:pPr>
    </w:p>
    <w:p>
      <w:pPr>
        <w:jc w:val="both"/>
        <w:ind w:firstLine="1125"/>
        <w:spacing w:after="0" w:line="253" w:lineRule="auto"/>
        <w:tabs>
          <w:tab w:leader="none" w:pos="176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Approval of Plan by Stockholders</w:t>
      </w:r>
      <w:r>
        <w:rPr>
          <w:rFonts w:ascii="Times New Roman" w:cs="Times New Roman" w:eastAsia="Times New Roman" w:hAnsi="Times New Roman"/>
          <w:sz w:val="22"/>
          <w:szCs w:val="22"/>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such approval has not been obtained at the end of said twelve (12) month period, all Awards previously granted or awarded under the Plan shall thereupon be canceled and become null and void.</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No Stockholders Rights</w:t>
      </w:r>
      <w:r>
        <w:rPr>
          <w:rFonts w:ascii="Times New Roman" w:cs="Times New Roman" w:eastAsia="Times New Roman" w:hAnsi="Times New Roman"/>
          <w:sz w:val="22"/>
          <w:szCs w:val="22"/>
          <w:color w:val="auto"/>
        </w:rPr>
        <w:t>. Except as otherwise provided herein, a Holder shall have none of the rights of a stockholder with respect to Shares covered by any Award until the Holder becomes the record owner of such Shares.</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Paperless Administration</w:t>
      </w:r>
      <w:r>
        <w:rPr>
          <w:rFonts w:ascii="Times New Roman" w:cs="Times New Roman" w:eastAsia="Times New Roman" w:hAnsi="Times New Roman"/>
          <w:sz w:val="22"/>
          <w:szCs w:val="22"/>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Effect of Plan upon Other Compensation Plans</w:t>
      </w:r>
      <w:r>
        <w:rPr>
          <w:rFonts w:ascii="Times New Roman" w:cs="Times New Roman" w:eastAsia="Times New Roman" w:hAnsi="Times New Roman"/>
          <w:sz w:val="22"/>
          <w:szCs w:val="22"/>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w:t>
      </w: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420" w:top="369" w:right="239" w:bottom="1440" w:gutter="0" w:footer="0" w:header="0"/>
        </w:sectPr>
      </w:pPr>
    </w:p>
    <w:bookmarkStart w:id="159" w:name="page160"/>
    <w:bookmarkEnd w:id="159"/>
    <w:p>
      <w:pPr>
        <w:jc w:val="both"/>
        <w:spacing w:after="0" w:line="252" w:lineRule="auto"/>
        <w:rPr>
          <w:sz w:val="20"/>
          <w:szCs w:val="20"/>
          <w:color w:val="auto"/>
        </w:rPr>
      </w:pPr>
      <w:r>
        <w:rPr>
          <w:rFonts w:ascii="Times New Roman" w:cs="Times New Roman" w:eastAsia="Times New Roman" w:hAnsi="Times New Roman"/>
          <w:sz w:val="22"/>
          <w:szCs w:val="22"/>
          <w:color w:val="auto"/>
        </w:rPr>
        <w:t>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Titles and Headings, References to Sections of the Code or Exchange Act</w:t>
      </w:r>
      <w:r>
        <w:rPr>
          <w:rFonts w:ascii="Times New Roman" w:cs="Times New Roman" w:eastAsia="Times New Roman" w:hAnsi="Times New Roman"/>
          <w:sz w:val="22"/>
          <w:szCs w:val="22"/>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7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any agreements hereunder shall be administered, interpreted and enforced under the internal laws of the State of Nevada without regard to conflicts of laws thereof or of any other jurisdiction.</w:t>
      </w:r>
    </w:p>
    <w:p>
      <w:pPr>
        <w:spacing w:after="0" w:line="14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14.11 </w:t>
      </w:r>
      <w:r>
        <w:rPr>
          <w:rFonts w:ascii="Times New Roman" w:cs="Times New Roman" w:eastAsia="Times New Roman" w:hAnsi="Times New Roman"/>
          <w:sz w:val="22"/>
          <w:szCs w:val="22"/>
          <w:u w:val="single" w:color="auto"/>
          <w:color w:val="auto"/>
        </w:rPr>
        <w:t>No Rights to Awards</w:t>
      </w:r>
      <w:r>
        <w:rPr>
          <w:rFonts w:ascii="Times New Roman" w:cs="Times New Roman" w:eastAsia="Times New Roman" w:hAnsi="Times New Roman"/>
          <w:sz w:val="22"/>
          <w:szCs w:val="22"/>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 xml:space="preserve">14.12 </w:t>
      </w:r>
      <w:r>
        <w:rPr>
          <w:rFonts w:ascii="Times New Roman" w:cs="Times New Roman" w:eastAsia="Times New Roman" w:hAnsi="Times New Roman"/>
          <w:sz w:val="21"/>
          <w:szCs w:val="21"/>
          <w:u w:val="single" w:color="auto"/>
          <w:color w:val="auto"/>
        </w:rPr>
        <w:t>Unfunded Status of Awards</w:t>
      </w:r>
      <w:r>
        <w:rPr>
          <w:rFonts w:ascii="Times New Roman" w:cs="Times New Roman" w:eastAsia="Times New Roman" w:hAnsi="Times New Roman"/>
          <w:sz w:val="21"/>
          <w:szCs w:val="21"/>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3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420" w:top="369" w:right="239" w:bottom="1440" w:gutter="0" w:footer="0" w:header="0"/>
        </w:sectPr>
      </w:pPr>
    </w:p>
    <w:bookmarkStart w:id="160" w:name="page161"/>
    <w:bookmarkEnd w:id="160"/>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14.13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14.14 </w:t>
      </w:r>
      <w:r>
        <w:rPr>
          <w:rFonts w:ascii="Times New Roman" w:cs="Times New Roman" w:eastAsia="Times New Roman" w:hAnsi="Times New Roman"/>
          <w:sz w:val="22"/>
          <w:szCs w:val="22"/>
          <w:u w:val="single" w:color="auto"/>
          <w:color w:val="auto"/>
        </w:rPr>
        <w:t>Relationship to other Benefits</w:t>
      </w:r>
      <w:r>
        <w:rPr>
          <w:rFonts w:ascii="Times New Roman" w:cs="Times New Roman" w:eastAsia="Times New Roman" w:hAnsi="Times New Roman"/>
          <w:sz w:val="22"/>
          <w:szCs w:val="22"/>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68"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14.15</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expenses of administering the Plan shall be borne by the Company and its Affiliates.</w:t>
      </w: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420" w:top="369" w:right="239"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 * * *</w:t>
      </w:r>
    </w:p>
    <w:p>
      <w:pPr>
        <w:spacing w:after="0" w:line="22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 hereby certify that the foregoing Amended and Restated 2014 Omnibus Incentive Plan was duly approved by the Board of Directors of Wynn Resorts, Limited on November 4, 2016, to be effective as of January 1,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on this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November, 2016.</w:t>
      </w:r>
    </w:p>
    <w:p>
      <w:pPr>
        <w:spacing w:after="0" w:line="1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/s/ Kim Sinatra</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Kim Sinatra, Corporate Secretary</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00"/>
          </w:cols>
          <w:pgMar w:left="240" w:top="365" w:right="2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10.8.3</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THIRD AMENDED AND RESTATED AGREEMENT OF LEASE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THIRD AMENDED AND RESTATED AGREEMENT OF LEASE (this "</w:t>
      </w:r>
      <w:r>
        <w:rPr>
          <w:rFonts w:ascii="Arial" w:cs="Arial" w:eastAsia="Arial" w:hAnsi="Arial"/>
          <w:sz w:val="22"/>
          <w:szCs w:val="22"/>
          <w:u w:val="single" w:color="auto"/>
          <w:color w:val="auto"/>
        </w:rPr>
        <w:t>Lease</w:t>
      </w:r>
      <w:r>
        <w:rPr>
          <w:rFonts w:ascii="Arial" w:cs="Arial" w:eastAsia="Arial" w:hAnsi="Arial"/>
          <w:sz w:val="22"/>
          <w:szCs w:val="22"/>
          <w:color w:val="auto"/>
        </w:rPr>
        <w:t>") is entered into on the 1st day of December, 2016, by and between Wynn Las Vegas, LLC, a Nevada limited liability company, having its principal place of business at 3131 Las Vegas Boulevard South, Las Vegas, Nevada 89109, Attention: Legal Department, as lessor ("</w:t>
      </w:r>
      <w:r>
        <w:rPr>
          <w:rFonts w:ascii="Arial" w:cs="Arial" w:eastAsia="Arial" w:hAnsi="Arial"/>
          <w:sz w:val="22"/>
          <w:szCs w:val="22"/>
          <w:u w:val="single" w:color="auto"/>
          <w:color w:val="auto"/>
        </w:rPr>
        <w:t>Lessor</w:t>
      </w:r>
      <w:r>
        <w:rPr>
          <w:rFonts w:ascii="Arial" w:cs="Arial" w:eastAsia="Arial" w:hAnsi="Arial"/>
          <w:sz w:val="22"/>
          <w:szCs w:val="22"/>
          <w:color w:val="auto"/>
        </w:rPr>
        <w:t>"), and Stephen A. Wynn, an individual, having his current residence at 3131 Las Vegas Boulevard South, Las Vegas, Nevada 89109, as lessee ("</w:t>
      </w:r>
      <w:r>
        <w:rPr>
          <w:rFonts w:ascii="Arial" w:cs="Arial" w:eastAsia="Arial" w:hAnsi="Arial"/>
          <w:sz w:val="22"/>
          <w:szCs w:val="22"/>
          <w:u w:val="single" w:color="auto"/>
          <w:color w:val="auto"/>
        </w:rPr>
        <w:t>Lessee</w:t>
      </w:r>
      <w:r>
        <w:rPr>
          <w:rFonts w:ascii="Arial" w:cs="Arial" w:eastAsia="Arial" w:hAnsi="Arial"/>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656"/>
        <w:spacing w:after="0" w:line="262" w:lineRule="auto"/>
        <w:tabs>
          <w:tab w:leader="none" w:pos="1161" w:val="left"/>
        </w:tabs>
        <w:numPr>
          <w:ilvl w:val="0"/>
          <w:numId w:val="75"/>
        </w:numPr>
        <w:rPr>
          <w:rFonts w:ascii="Arial" w:cs="Arial" w:eastAsia="Arial" w:hAnsi="Arial"/>
          <w:sz w:val="22"/>
          <w:szCs w:val="22"/>
          <w:color w:val="auto"/>
        </w:rPr>
      </w:pPr>
      <w:r>
        <w:rPr>
          <w:rFonts w:ascii="Arial" w:cs="Arial" w:eastAsia="Arial" w:hAnsi="Arial"/>
          <w:sz w:val="22"/>
          <w:szCs w:val="22"/>
          <w:color w:val="auto"/>
        </w:rPr>
        <w:t>Lessor is a wholly-owned subsidiary of Wynn Resorts, Limited, and the developer, owner and operator of the world-class luxury casino and resort hotel located at 3131 Las Vegas Boulevard South, Las Vegas, Nevada, commonly known as Wynn Las Vegas (the "</w:t>
      </w:r>
      <w:r>
        <w:rPr>
          <w:rFonts w:ascii="Arial" w:cs="Arial" w:eastAsia="Arial" w:hAnsi="Arial"/>
          <w:sz w:val="22"/>
          <w:szCs w:val="22"/>
          <w:u w:val="single" w:color="auto"/>
          <w:color w:val="auto"/>
        </w:rPr>
        <w:t>Resort</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right="20" w:firstLine="656"/>
        <w:spacing w:after="0" w:line="281" w:lineRule="auto"/>
        <w:tabs>
          <w:tab w:leader="none" w:pos="11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Lessee is a principal shareholder, Chairman of the Board of Directors and Chief Executive Officer of Wynn Resorts, Limited.</w:t>
      </w:r>
    </w:p>
    <w:p>
      <w:pPr>
        <w:spacing w:after="0" w:line="136" w:lineRule="exact"/>
        <w:rPr>
          <w:rFonts w:ascii="Arial" w:cs="Arial" w:eastAsia="Arial" w:hAnsi="Arial"/>
          <w:sz w:val="22"/>
          <w:szCs w:val="22"/>
          <w:color w:val="auto"/>
        </w:rPr>
      </w:pPr>
    </w:p>
    <w:p>
      <w:pPr>
        <w:ind w:firstLine="656"/>
        <w:spacing w:after="0" w:line="281" w:lineRule="auto"/>
        <w:tabs>
          <w:tab w:leader="none" w:pos="1161" w:val="left"/>
        </w:tabs>
        <w:numPr>
          <w:ilvl w:val="0"/>
          <w:numId w:val="75"/>
        </w:numPr>
        <w:rPr>
          <w:rFonts w:ascii="Arial" w:cs="Arial" w:eastAsia="Arial" w:hAnsi="Arial"/>
          <w:sz w:val="22"/>
          <w:szCs w:val="22"/>
          <w:color w:val="auto"/>
        </w:rPr>
      </w:pPr>
      <w:r>
        <w:rPr>
          <w:rFonts w:ascii="Arial" w:cs="Arial" w:eastAsia="Arial" w:hAnsi="Arial"/>
          <w:sz w:val="22"/>
          <w:szCs w:val="22"/>
          <w:color w:val="auto"/>
        </w:rPr>
        <w:t>Lessor and Lessee believe it is in Lessor’s best interests for Lessee to live in the Resort and that Lessee pay fair market value for his accommodations as set forth herein.</w:t>
      </w:r>
    </w:p>
    <w:p>
      <w:pPr>
        <w:spacing w:after="0" w:line="136" w:lineRule="exact"/>
        <w:rPr>
          <w:rFonts w:ascii="Arial" w:cs="Arial" w:eastAsia="Arial" w:hAnsi="Arial"/>
          <w:sz w:val="22"/>
          <w:szCs w:val="22"/>
          <w:color w:val="auto"/>
        </w:rPr>
      </w:pPr>
    </w:p>
    <w:p>
      <w:pPr>
        <w:jc w:val="both"/>
        <w:ind w:firstLine="656"/>
        <w:spacing w:after="0" w:line="262" w:lineRule="auto"/>
        <w:tabs>
          <w:tab w:leader="none" w:pos="1103"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Parties have entered into that certain 2013 Second Amended and Restated Agreement of Lease, dated as of November 7, 2013, as amended (the “</w:t>
      </w:r>
      <w:r>
        <w:rPr>
          <w:rFonts w:ascii="Arial" w:cs="Arial" w:eastAsia="Arial" w:hAnsi="Arial"/>
          <w:sz w:val="22"/>
          <w:szCs w:val="22"/>
          <w:u w:val="single" w:color="auto"/>
          <w:color w:val="auto"/>
        </w:rPr>
        <w:t>Existing Lease</w:t>
      </w:r>
      <w:r>
        <w:rPr>
          <w:rFonts w:ascii="Arial" w:cs="Arial" w:eastAsia="Arial" w:hAnsi="Arial"/>
          <w:sz w:val="22"/>
          <w:szCs w:val="22"/>
          <w:color w:val="auto"/>
        </w:rPr>
        <w:t>”), pursuant to which Lessee leases luxury villas in the Resort.</w:t>
      </w:r>
    </w:p>
    <w:p>
      <w:pPr>
        <w:spacing w:after="0" w:line="157" w:lineRule="exact"/>
        <w:rPr>
          <w:rFonts w:ascii="Arial" w:cs="Arial" w:eastAsia="Arial" w:hAnsi="Arial"/>
          <w:sz w:val="22"/>
          <w:szCs w:val="22"/>
          <w:color w:val="auto"/>
        </w:rPr>
      </w:pPr>
    </w:p>
    <w:p>
      <w:pPr>
        <w:ind w:firstLine="656"/>
        <w:spacing w:after="0" w:line="281" w:lineRule="auto"/>
        <w:tabs>
          <w:tab w:leader="none" w:pos="1118"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Parties desire to amend and restate the Existing Lease in its entirety to set forth their agreements with respect to Lessee’s lease of luxury villas in the Resort.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agreed as follows:</w:t>
      </w:r>
    </w:p>
    <w:p>
      <w:pPr>
        <w:spacing w:after="0" w:line="260" w:lineRule="exact"/>
        <w:rPr>
          <w:sz w:val="20"/>
          <w:szCs w:val="20"/>
          <w:color w:val="auto"/>
        </w:rPr>
      </w:pPr>
    </w:p>
    <w:p>
      <w:pPr>
        <w:jc w:val="both"/>
        <w:ind w:firstLine="656"/>
        <w:spacing w:after="0" w:line="256" w:lineRule="auto"/>
        <w:tabs>
          <w:tab w:leader="none" w:pos="147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Demise</w:t>
      </w:r>
      <w:r>
        <w:rPr>
          <w:rFonts w:ascii="Arial" w:cs="Arial" w:eastAsia="Arial" w:hAnsi="Arial"/>
          <w:sz w:val="22"/>
          <w:szCs w:val="22"/>
          <w:color w:val="auto"/>
        </w:rPr>
        <w:t>. Subject to the terms and conditions that follow, Lessor leases to Lessee, and Lessee leases from Lessor, two (2) luxury villas located in the Resort known as Fairway Villa Unit No. 200 and Fairway Villa Unit No. 300, with a combined total square footage of approximately 6,223 square feet, as currently improved, including all furniture and furnishings contained therein (collectively, the "</w:t>
      </w:r>
      <w:r>
        <w:rPr>
          <w:rFonts w:ascii="Arial" w:cs="Arial" w:eastAsia="Arial" w:hAnsi="Arial"/>
          <w:sz w:val="22"/>
          <w:szCs w:val="22"/>
          <w:u w:val="single" w:color="auto"/>
          <w:color w:val="auto"/>
        </w:rPr>
        <w:t>Villas</w:t>
      </w:r>
      <w:r>
        <w:rPr>
          <w:rFonts w:ascii="Arial" w:cs="Arial" w:eastAsia="Arial" w:hAnsi="Arial"/>
          <w:sz w:val="22"/>
          <w:szCs w:val="22"/>
          <w:color w:val="auto"/>
        </w:rPr>
        <w:t>").</w:t>
      </w:r>
    </w:p>
    <w:p>
      <w:pPr>
        <w:spacing w:after="0" w:line="163" w:lineRule="exact"/>
        <w:rPr>
          <w:rFonts w:ascii="Arial" w:cs="Arial" w:eastAsia="Arial" w:hAnsi="Arial"/>
          <w:sz w:val="22"/>
          <w:szCs w:val="22"/>
          <w:color w:val="auto"/>
        </w:rPr>
      </w:pPr>
    </w:p>
    <w:p>
      <w:pPr>
        <w:jc w:val="both"/>
        <w:ind w:firstLine="656"/>
        <w:spacing w:after="0" w:line="269" w:lineRule="auto"/>
        <w:tabs>
          <w:tab w:leader="none" w:pos="1103"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Lease shall be effective as of November 3, 2016 (“</w:t>
      </w:r>
      <w:r>
        <w:rPr>
          <w:rFonts w:ascii="Arial" w:cs="Arial" w:eastAsia="Arial" w:hAnsi="Arial"/>
          <w:sz w:val="22"/>
          <w:szCs w:val="22"/>
          <w:u w:val="single" w:color="auto"/>
          <w:color w:val="auto"/>
        </w:rPr>
        <w:t>Effective Date</w:t>
      </w:r>
      <w:r>
        <w:rPr>
          <w:rFonts w:ascii="Arial" w:cs="Arial" w:eastAsia="Arial" w:hAnsi="Arial"/>
          <w:sz w:val="22"/>
          <w:szCs w:val="22"/>
          <w:color w:val="auto"/>
        </w:rPr>
        <w:t>”) and terminate concurrently with the term of Lessee’s Employment Agreement with Wynn Resorts, Limited (the “</w:t>
      </w:r>
      <w:r>
        <w:rPr>
          <w:rFonts w:ascii="Arial" w:cs="Arial" w:eastAsia="Arial" w:hAnsi="Arial"/>
          <w:sz w:val="22"/>
          <w:szCs w:val="22"/>
          <w:u w:val="single" w:color="auto"/>
          <w:color w:val="auto"/>
        </w:rPr>
        <w:t>Term</w:t>
      </w:r>
      <w:r>
        <w:rPr>
          <w:rFonts w:ascii="Arial" w:cs="Arial" w:eastAsia="Arial" w:hAnsi="Arial"/>
          <w:sz w:val="22"/>
          <w:szCs w:val="22"/>
          <w:color w:val="auto"/>
        </w:rPr>
        <w:t>”); provided that, either party may terminate the Lease upon ninety (90) days prior written notice to the other.</w:t>
      </w:r>
    </w:p>
    <w:p>
      <w:pPr>
        <w:spacing w:after="0" w:line="148" w:lineRule="exact"/>
        <w:rPr>
          <w:rFonts w:ascii="Arial" w:cs="Arial" w:eastAsia="Arial" w:hAnsi="Arial"/>
          <w:sz w:val="22"/>
          <w:szCs w:val="22"/>
          <w:color w:val="auto"/>
        </w:rPr>
      </w:pPr>
    </w:p>
    <w:p>
      <w:pPr>
        <w:ind w:left="1020" w:hanging="364"/>
        <w:spacing w:after="0"/>
        <w:tabs>
          <w:tab w:leader="none" w:pos="102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Rental Value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60" w:firstLine="645"/>
        <w:spacing w:after="0" w:line="256" w:lineRule="auto"/>
        <w:tabs>
          <w:tab w:leader="none" w:pos="1809" w:val="left"/>
        </w:tabs>
        <w:numPr>
          <w:ilvl w:val="1"/>
          <w:numId w:val="76"/>
        </w:numPr>
        <w:rPr>
          <w:rFonts w:ascii="Times New Roman" w:cs="Times New Roman" w:eastAsia="Times New Roman" w:hAnsi="Times New Roman"/>
          <w:sz w:val="22"/>
          <w:szCs w:val="22"/>
          <w:color w:val="auto"/>
        </w:rPr>
      </w:pPr>
      <w:r>
        <w:rPr>
          <w:rFonts w:ascii="Arial" w:cs="Arial" w:eastAsia="Arial" w:hAnsi="Arial"/>
          <w:sz w:val="22"/>
          <w:szCs w:val="22"/>
          <w:color w:val="auto"/>
        </w:rPr>
        <w:t>Commencing on the Effective Date and ending on November 2, 2018, Lessee shall pay to Lessor rent for the Villas of Three Hundred and Five Thousand Six Hundred Eighty Dollars ($305,680) per year (the “</w:t>
      </w:r>
      <w:r>
        <w:rPr>
          <w:rFonts w:ascii="Arial" w:cs="Arial" w:eastAsia="Arial" w:hAnsi="Arial"/>
          <w:sz w:val="22"/>
          <w:szCs w:val="22"/>
          <w:u w:val="single" w:color="auto"/>
          <w:color w:val="auto"/>
        </w:rPr>
        <w:t>Rental Value</w:t>
      </w:r>
      <w:r>
        <w:rPr>
          <w:rFonts w:ascii="Arial" w:cs="Arial" w:eastAsia="Arial" w:hAnsi="Arial"/>
          <w:sz w:val="22"/>
          <w:szCs w:val="22"/>
          <w:color w:val="auto"/>
        </w:rPr>
        <w:t>”). The Rental Value shall be equal to the fair market value of the accommodations provided. The Rental Value of the Villas shall be re-determined every two (2) years during the Term, based upon a valuation completed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163" w:name="page164"/>
    <w:bookmarkEnd w:id="163"/>
    <w:p>
      <w:pPr>
        <w:ind w:left="660" w:right="20"/>
        <w:spacing w:after="0" w:line="281" w:lineRule="auto"/>
        <w:rPr>
          <w:sz w:val="20"/>
          <w:szCs w:val="20"/>
          <w:color w:val="auto"/>
        </w:rPr>
      </w:pPr>
      <w:r>
        <w:rPr>
          <w:rFonts w:ascii="Arial" w:cs="Arial" w:eastAsia="Arial" w:hAnsi="Arial"/>
          <w:sz w:val="22"/>
          <w:szCs w:val="22"/>
          <w:color w:val="auto"/>
        </w:rPr>
        <w:t>by an independent real estate expert practicing in the greater Las Vegas area or other qualified independent expert approved by the Audit Committee.</w:t>
      </w:r>
    </w:p>
    <w:p>
      <w:pPr>
        <w:spacing w:after="0" w:line="137" w:lineRule="exact"/>
        <w:rPr>
          <w:sz w:val="20"/>
          <w:szCs w:val="20"/>
          <w:color w:val="auto"/>
        </w:rPr>
      </w:pPr>
    </w:p>
    <w:p>
      <w:pPr>
        <w:jc w:val="both"/>
        <w:ind w:left="660" w:firstLine="645"/>
        <w:spacing w:after="0" w:line="253" w:lineRule="auto"/>
        <w:tabs>
          <w:tab w:leader="none" w:pos="1781" w:val="left"/>
        </w:tabs>
        <w:numPr>
          <w:ilvl w:val="1"/>
          <w:numId w:val="77"/>
        </w:numPr>
        <w:rPr>
          <w:rFonts w:ascii="Times New Roman" w:cs="Times New Roman" w:eastAsia="Times New Roman" w:hAnsi="Times New Roman"/>
          <w:sz w:val="22"/>
          <w:szCs w:val="22"/>
          <w:color w:val="auto"/>
        </w:rPr>
      </w:pPr>
      <w:r>
        <w:rPr>
          <w:rFonts w:ascii="Arial" w:cs="Arial" w:eastAsia="Arial" w:hAnsi="Arial"/>
          <w:sz w:val="22"/>
          <w:szCs w:val="22"/>
          <w:color w:val="auto"/>
        </w:rPr>
        <w:t>It is the intention of the parties that Lessee be deemed a “permanent resident” of the Resort for the purpose of exempting the rental of the Villas hereunder from the transient lodging tax imposed by state and local law in Clark County, Nevada. Lessor agrees to dispute the imposition or attempted imposition of any transient lodging tax on Lessee’s rental of the Villas. Lessee agrees, however, to pay any transient lodging tax that ultimately may be imposed on his rental of the Villas, notwithstanding the parties’ intention or any unsuccessful dispute initiated by Lessor.</w:t>
      </w:r>
    </w:p>
    <w:p>
      <w:pPr>
        <w:spacing w:after="0" w:line="168" w:lineRule="exact"/>
        <w:rPr>
          <w:rFonts w:ascii="Times New Roman" w:cs="Times New Roman" w:eastAsia="Times New Roman" w:hAnsi="Times New Roman"/>
          <w:sz w:val="22"/>
          <w:szCs w:val="22"/>
          <w:color w:val="auto"/>
        </w:rPr>
      </w:pPr>
    </w:p>
    <w:p>
      <w:pPr>
        <w:jc w:val="both"/>
        <w:ind w:left="660" w:firstLine="645"/>
        <w:spacing w:after="0" w:line="268" w:lineRule="auto"/>
        <w:tabs>
          <w:tab w:leader="none" w:pos="1917" w:val="left"/>
        </w:tabs>
        <w:numPr>
          <w:ilvl w:val="1"/>
          <w:numId w:val="77"/>
        </w:numPr>
        <w:rPr>
          <w:rFonts w:ascii="Times New Roman" w:cs="Times New Roman" w:eastAsia="Times New Roman" w:hAnsi="Times New Roman"/>
          <w:sz w:val="22"/>
          <w:szCs w:val="22"/>
          <w:color w:val="auto"/>
        </w:rPr>
      </w:pPr>
      <w:r>
        <w:rPr>
          <w:rFonts w:ascii="Arial" w:cs="Arial" w:eastAsia="Arial" w:hAnsi="Arial"/>
          <w:sz w:val="22"/>
          <w:szCs w:val="22"/>
          <w:color w:val="auto"/>
        </w:rPr>
        <w:t>The parties further agree that the provisions of Chapter 651 of the Nevada Revised Statutes, regarding the posting of daily room rates, the maintenance of a registration card, and the furnishing of rental receipts, shall not apply to this Lease.</w:t>
      </w:r>
    </w:p>
    <w:p>
      <w:pPr>
        <w:spacing w:after="0" w:line="150" w:lineRule="exact"/>
        <w:rPr>
          <w:rFonts w:ascii="Times New Roman" w:cs="Times New Roman" w:eastAsia="Times New Roman" w:hAnsi="Times New Roman"/>
          <w:sz w:val="22"/>
          <w:szCs w:val="22"/>
          <w:color w:val="auto"/>
        </w:rPr>
      </w:pPr>
    </w:p>
    <w:p>
      <w:pPr>
        <w:jc w:val="both"/>
        <w:ind w:firstLine="656"/>
        <w:spacing w:after="0" w:line="269" w:lineRule="auto"/>
        <w:tabs>
          <w:tab w:leader="none" w:pos="1103"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Capital Improvements</w:t>
      </w:r>
      <w:r>
        <w:rPr>
          <w:rFonts w:ascii="Arial" w:cs="Arial" w:eastAsia="Arial" w:hAnsi="Arial"/>
          <w:sz w:val="22"/>
          <w:szCs w:val="22"/>
          <w:color w:val="auto"/>
        </w:rPr>
        <w:t>. Lessor shall pay for all capital improvements to the Villas. Lessor shall reimburse Lessee for all amounts paid by Lessee for capital improvements to the Villas. All Capital Improvements to the Villas shall be approved in advance by Lessor.</w:t>
      </w:r>
    </w:p>
    <w:p>
      <w:pPr>
        <w:spacing w:after="0" w:line="148" w:lineRule="exact"/>
        <w:rPr>
          <w:rFonts w:ascii="Arial" w:cs="Arial" w:eastAsia="Arial" w:hAnsi="Arial"/>
          <w:sz w:val="22"/>
          <w:szCs w:val="22"/>
          <w:color w:val="auto"/>
        </w:rPr>
      </w:pPr>
    </w:p>
    <w:p>
      <w:pPr>
        <w:jc w:val="both"/>
        <w:ind w:firstLine="656"/>
        <w:spacing w:after="0" w:line="263" w:lineRule="auto"/>
        <w:tabs>
          <w:tab w:leader="none" w:pos="102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Maintenance and Services</w:t>
      </w:r>
      <w:r>
        <w:rPr>
          <w:rFonts w:ascii="Arial" w:cs="Arial" w:eastAsia="Arial" w:hAnsi="Arial"/>
          <w:sz w:val="21"/>
          <w:szCs w:val="21"/>
          <w:color w:val="auto"/>
        </w:rPr>
        <w:t xml:space="preserve">. Lessor shall maintain the Villas and provide all services and utilities with respect thereto in a manner consistent with the Resort’s standards; </w:t>
      </w:r>
      <w:r>
        <w:rPr>
          <w:rFonts w:ascii="Arial" w:cs="Arial" w:eastAsia="Arial" w:hAnsi="Arial"/>
          <w:sz w:val="21"/>
          <w:szCs w:val="21"/>
          <w:u w:val="single" w:color="auto"/>
          <w:color w:val="auto"/>
        </w:rPr>
        <w:t>provided however</w:t>
      </w:r>
      <w:r>
        <w:rPr>
          <w:rFonts w:ascii="Arial" w:cs="Arial" w:eastAsia="Arial" w:hAnsi="Arial"/>
          <w:sz w:val="21"/>
          <w:szCs w:val="21"/>
          <w:color w:val="auto"/>
        </w:rPr>
        <w:t>, that Lessor shall only be obligated to provide maid service in the Villas on Saturdays and Sundays of each week during the Term. Lessee shall be responsible to arrange and pay for maid service in the Villas from Monday through Friday of each week during the Term. Lessee shall also be permitted to use certain warehouse space owned by Lessor as part of Lessee’s rental of the Villas. All taxes and utilities with respect to the Villas, other than personal long distance telephone charges and taxes associated with the maid service arranged by the Lessee, shall be paid by Lessor and deemed included in the Rental Value of the Villas described in Section 3 above. Lessee shall be responsible for payment of all personal long distance telephone charges, which shall be billed to him separately by the Resort in accordance with its customary practices.</w:t>
      </w:r>
    </w:p>
    <w:p>
      <w:pPr>
        <w:spacing w:after="0" w:line="157" w:lineRule="exact"/>
        <w:rPr>
          <w:rFonts w:ascii="Arial" w:cs="Arial" w:eastAsia="Arial" w:hAnsi="Arial"/>
          <w:sz w:val="21"/>
          <w:szCs w:val="21"/>
          <w:color w:val="auto"/>
        </w:rPr>
      </w:pPr>
    </w:p>
    <w:p>
      <w:pPr>
        <w:jc w:val="both"/>
        <w:ind w:firstLine="656"/>
        <w:spacing w:after="0" w:line="269" w:lineRule="auto"/>
        <w:tabs>
          <w:tab w:leader="none" w:pos="1036"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Alterations</w:t>
      </w:r>
      <w:r>
        <w:rPr>
          <w:rFonts w:ascii="Arial" w:cs="Arial" w:eastAsia="Arial" w:hAnsi="Arial"/>
          <w:sz w:val="22"/>
          <w:szCs w:val="22"/>
          <w:color w:val="auto"/>
        </w:rPr>
        <w:t>. Lessee shall not make any alterations to the Villas without the approval of the Audit Committee. All alterations to the Villas shall remain upon the premises and become the property of Lessor. Upon termination of this Lease, Lessee shall remove all of his personal property and vacate the Villas.</w:t>
      </w:r>
    </w:p>
    <w:p>
      <w:pPr>
        <w:spacing w:after="0" w:line="148" w:lineRule="exact"/>
        <w:rPr>
          <w:rFonts w:ascii="Arial" w:cs="Arial" w:eastAsia="Arial" w:hAnsi="Arial"/>
          <w:sz w:val="22"/>
          <w:szCs w:val="22"/>
          <w:color w:val="auto"/>
        </w:rPr>
      </w:pPr>
    </w:p>
    <w:p>
      <w:pPr>
        <w:ind w:firstLine="656"/>
        <w:spacing w:after="0" w:line="294" w:lineRule="auto"/>
        <w:tabs>
          <w:tab w:leader="none" w:pos="100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No Assignment or Subletting</w:t>
      </w:r>
      <w:r>
        <w:rPr>
          <w:rFonts w:ascii="Arial" w:cs="Arial" w:eastAsia="Arial" w:hAnsi="Arial"/>
          <w:sz w:val="22"/>
          <w:szCs w:val="22"/>
          <w:color w:val="auto"/>
        </w:rPr>
        <w:t>. Lessee shall have no right to assign his interest in this Lease or to sublet all or any portion of the Villas for any period.</w:t>
      </w:r>
    </w:p>
    <w:p>
      <w:pPr>
        <w:spacing w:after="0" w:line="123" w:lineRule="exact"/>
        <w:rPr>
          <w:rFonts w:ascii="Arial" w:cs="Arial" w:eastAsia="Arial" w:hAnsi="Arial"/>
          <w:sz w:val="22"/>
          <w:szCs w:val="22"/>
          <w:color w:val="auto"/>
        </w:rPr>
      </w:pPr>
    </w:p>
    <w:p>
      <w:pPr>
        <w:ind w:firstLine="656"/>
        <w:spacing w:after="0" w:line="294" w:lineRule="auto"/>
        <w:tabs>
          <w:tab w:leader="none" w:pos="1022"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Termination of Existing Lease</w:t>
      </w:r>
      <w:r>
        <w:rPr>
          <w:rFonts w:ascii="Arial" w:cs="Arial" w:eastAsia="Arial" w:hAnsi="Arial"/>
          <w:sz w:val="22"/>
          <w:szCs w:val="22"/>
          <w:color w:val="auto"/>
        </w:rPr>
        <w:t>. As of the Effective Date, the Existing Lease is terminated in its entirety and of no further force or effect.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8" w:right="239" w:bottom="1440" w:gutter="0" w:footer="0" w:header="0"/>
        </w:sectPr>
      </w:pPr>
    </w:p>
    <w:bookmarkStart w:id="164" w:name="page165"/>
    <w:bookmarkEnd w:id="164"/>
    <w:p>
      <w:pPr>
        <w:ind w:firstLine="648"/>
        <w:spacing w:after="0" w:line="281" w:lineRule="auto"/>
        <w:rPr>
          <w:sz w:val="20"/>
          <w:szCs w:val="20"/>
          <w:color w:val="auto"/>
        </w:rPr>
      </w:pPr>
      <w:r>
        <w:rPr>
          <w:rFonts w:ascii="Arial" w:cs="Arial" w:eastAsia="Arial" w:hAnsi="Arial"/>
          <w:sz w:val="22"/>
          <w:szCs w:val="22"/>
          <w:color w:val="auto"/>
        </w:rPr>
        <w:t>IN WITNESS WHEREOF, the parties have executed this Lease as of the day and year first written above. This Lease is subject to and shall become effective only upon approval by the Audit Committee.</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Maurice Wooden</w:t>
            </w:r>
          </w:p>
        </w:tc>
        <w:tc>
          <w:tcPr>
            <w:tcW w:w="4240" w:type="dxa"/>
            <w:vAlign w:val="bottom"/>
          </w:tcPr>
          <w:p>
            <w:pPr>
              <w:spacing w:after="0"/>
              <w:rPr>
                <w:sz w:val="21"/>
                <w:szCs w:val="21"/>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/s/ Stephen A. Wynn</w:t>
            </w:r>
          </w:p>
        </w:tc>
      </w:tr>
      <w:tr>
        <w:trPr>
          <w:trHeight w:val="334"/>
        </w:trPr>
        <w:tc>
          <w:tcPr>
            <w:tcW w:w="1920" w:type="dxa"/>
            <w:vAlign w:val="bottom"/>
          </w:tcPr>
          <w:p>
            <w:pPr>
              <w:spacing w:after="0"/>
              <w:rPr>
                <w:sz w:val="20"/>
                <w:szCs w:val="20"/>
                <w:color w:val="auto"/>
              </w:rPr>
            </w:pPr>
            <w:r>
              <w:rPr>
                <w:rFonts w:ascii="Arial" w:cs="Arial" w:eastAsia="Arial" w:hAnsi="Arial"/>
                <w:sz w:val="22"/>
                <w:szCs w:val="22"/>
                <w:color w:val="auto"/>
              </w:rPr>
              <w:t>Maurice Wooden</w:t>
            </w:r>
          </w:p>
        </w:tc>
        <w:tc>
          <w:tcPr>
            <w:tcW w:w="424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22"/>
                <w:szCs w:val="22"/>
                <w:color w:val="auto"/>
              </w:rPr>
              <w:t>Stephen A. Wynn</w:t>
            </w:r>
          </w:p>
        </w:tc>
      </w:tr>
      <w:tr>
        <w:trPr>
          <w:trHeight w:val="297"/>
        </w:trPr>
        <w:tc>
          <w:tcPr>
            <w:tcW w:w="1920" w:type="dxa"/>
            <w:vAlign w:val="bottom"/>
          </w:tcPr>
          <w:p>
            <w:pPr>
              <w:spacing w:after="0"/>
              <w:rPr>
                <w:sz w:val="20"/>
                <w:szCs w:val="20"/>
                <w:color w:val="auto"/>
              </w:rPr>
            </w:pPr>
            <w:r>
              <w:rPr>
                <w:rFonts w:ascii="Arial" w:cs="Arial" w:eastAsia="Arial" w:hAnsi="Arial"/>
                <w:sz w:val="22"/>
                <w:szCs w:val="22"/>
                <w:color w:val="auto"/>
              </w:rPr>
              <w:t>President</w:t>
            </w:r>
          </w:p>
        </w:tc>
        <w:tc>
          <w:tcPr>
            <w:tcW w:w="4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686"/>
        </w:trPr>
        <w:tc>
          <w:tcPr>
            <w:tcW w:w="1920" w:type="dxa"/>
            <w:vAlign w:val="bottom"/>
          </w:tcPr>
          <w:p>
            <w:pPr>
              <w:spacing w:after="0"/>
              <w:rPr>
                <w:sz w:val="24"/>
                <w:szCs w:val="24"/>
                <w:color w:val="auto"/>
              </w:rPr>
            </w:pPr>
          </w:p>
        </w:tc>
        <w:tc>
          <w:tcPr>
            <w:tcW w:w="42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w:t>
            </w:r>
          </w:p>
        </w:tc>
        <w:tc>
          <w:tcPr>
            <w:tcW w:w="1960" w:type="dxa"/>
            <w:vAlign w:val="bottom"/>
          </w:tcPr>
          <w:p>
            <w:pPr>
              <w:spacing w:after="0"/>
              <w:rPr>
                <w:sz w:val="24"/>
                <w:szCs w:val="24"/>
                <w:color w:val="auto"/>
              </w:rPr>
            </w:pPr>
          </w:p>
        </w:tc>
      </w:tr>
    </w:tbl>
    <w:p>
      <w:pPr>
        <w:sectPr>
          <w:pgSz w:w="11900" w:h="16838" w:orient="portrait"/>
          <w:cols w:equalWidth="0" w:num="1">
            <w:col w:w="11420"/>
          </w:cols>
          <w:pgMar w:left="240" w:top="834"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WYNN RESORTS,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Development,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Jet Hanger,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 Property,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Thompson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Bow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Mystic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Mystic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 Lynde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Bow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Lynde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 Lynde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Mystic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 Mystic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Mystic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68 Tremont Street,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East Broadway, LLC (a Massachusetts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Everett Broadway, LLC (a Massachusetts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Realty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Indonesia Marketing,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International Marketing, Ltd (an Isle of Man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Toasty,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WDD Massachusetts Purchasing,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Energy,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WM Cayman Holdings Limited I (a Cayman Islands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Macau, Limited (a Cayman Islands company and a 72% owned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WML Corp. Ltd. (a Cayman Islands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WM Cayman Holdings Limited II (a Cayman Islands company)</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Wynn Resorts, International, Ltd. (an Isle of Man company)</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Wynn Resorts (Macau) Holdings, Ltd. (an Isle of Man company)</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Wynn Resorts (Macau), Ltd. (a Hong Kong Limited company)</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Wynn Resorts (Macau), S.A. (a Macau SA company)</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Palo Real Estate Company Ltd. (a Macau SA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WML Finance I Limited (a Cayman Islands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IOM Holdco I, Ltd. (an Isle of Man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IOM Holdco II, Ltd. (an Isle of Man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 Hoteleria Limitada (a Macau limited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Manpower, Limited (a Macau limited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Palo Marketing Services Limited (a Macau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Macau Development Company, LLC</w:t>
      </w:r>
    </w:p>
    <w:p>
      <w:pPr>
        <w:sectPr>
          <w:pgSz w:w="11900" w:h="16838" w:orient="portrait"/>
          <w:cols w:equalWidth="0" w:num="1">
            <w:col w:w="11420"/>
          </w:cols>
          <w:pgMar w:left="240" w:top="739"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Wynn North Asia,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Plaza,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Wynn/CA Plaza JV,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Wynn/CA Plaza Property Owner,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America,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Everett Property, LLC (a Massachusetts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 MA, LLC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Wynn Las Vegas Holdings, LLC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Kevyn, LLC</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WLV Events, LLC</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Wynn Sunrise,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Retail,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Wynn/CA JV,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Wynn/CA Property Owner,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Social Gaming,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Vacations,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subsidiaries are formed in the State of Nevada and wholly owned unless otherwise specifically identified.</w:t>
      </w:r>
    </w:p>
    <w:p>
      <w:pPr>
        <w:sectPr>
          <w:pgSz w:w="11900" w:h="16838" w:orient="portrait"/>
          <w:cols w:equalWidth="0" w:num="1">
            <w:col w:w="10219"/>
          </w:cols>
          <w:pgMar w:left="240" w:top="580"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Statements No. 333-196113, No. 333-168323 and No. 333-100891 on Form S-8 pertaining to the securities to be offered to employees in benefit plans of Wynn Resorts, Limited and Registration Statement No. 333-214505 on Form S-3 of Wynn Resorts, Limited of our reports dated February 24, 2017 with respect to the consolidated financial statements and schedule of Wynn Resorts, Limited and the effectiveness of internal control over financial reporting of Wynn Resorts, Limited, included in this Annual Report on Form 10-K for the year ended December 31, 2016.</w:t>
      </w:r>
    </w:p>
    <w:p>
      <w:pPr>
        <w:spacing w:after="0" w:line="200" w:lineRule="exact"/>
        <w:rPr>
          <w:sz w:val="20"/>
          <w:szCs w:val="20"/>
          <w:color w:val="auto"/>
        </w:rPr>
      </w:pPr>
    </w:p>
    <w:p>
      <w:pPr>
        <w:spacing w:after="0" w:line="34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 Vegas, Nevada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24, 2017</w:t>
      </w:r>
    </w:p>
    <w:p>
      <w:pPr>
        <w:sectPr>
          <w:pgSz w:w="11900" w:h="16838" w:orient="portrait"/>
          <w:cols w:equalWidth="0" w:num="1">
            <w:col w:w="11420"/>
          </w:cols>
          <w:pgMar w:left="240" w:top="572" w:right="2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63" w:lineRule="exact"/>
        <w:rPr>
          <w:sz w:val="20"/>
          <w:szCs w:val="20"/>
          <w:color w:val="auto"/>
        </w:rPr>
      </w:pPr>
    </w:p>
    <w:p>
      <w:pPr>
        <w:ind w:left="980" w:hanging="972"/>
        <w:spacing w:after="0"/>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63" w:lineRule="exact"/>
        <w:rPr>
          <w:rFonts w:ascii="Times New Roman" w:cs="Times New Roman" w:eastAsia="Times New Roman" w:hAnsi="Times New Roman"/>
          <w:sz w:val="18"/>
          <w:szCs w:val="18"/>
          <w:color w:val="auto"/>
        </w:rPr>
      </w:pPr>
    </w:p>
    <w:p>
      <w:pPr>
        <w:ind w:left="980" w:right="40" w:hanging="972"/>
        <w:spacing w:after="0" w:line="266"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980" w:right="200" w:hanging="972"/>
        <w:spacing w:after="0" w:line="281"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right="160" w:hanging="972"/>
        <w:spacing w:after="0" w:line="276" w:lineRule="auto"/>
        <w:tabs>
          <w:tab w:leader="none" w:pos="9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960" w:right="400" w:hanging="980"/>
        <w:spacing w:after="0" w:line="287" w:lineRule="auto"/>
        <w:tabs>
          <w:tab w:leader="none" w:pos="196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1960" w:right="20" w:hanging="980"/>
        <w:spacing w:after="0" w:line="266"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Times New Roman" w:cs="Times New Roman" w:eastAsia="Times New Roman" w:hAnsi="Times New Roman"/>
          <w:sz w:val="18"/>
          <w:szCs w:val="18"/>
          <w:color w:val="auto"/>
        </w:rPr>
      </w:pPr>
    </w:p>
    <w:p>
      <w:pPr>
        <w:ind w:left="1960" w:right="140" w:hanging="980"/>
        <w:spacing w:after="0" w:line="266"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980" w:right="120" w:hanging="972"/>
        <w:spacing w:after="0" w:line="281"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960" w:right="80" w:hanging="980"/>
        <w:spacing w:after="0" w:line="298" w:lineRule="auto"/>
        <w:tabs>
          <w:tab w:leader="none" w:pos="196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60" w:hanging="980"/>
        <w:spacing w:after="0" w:line="282" w:lineRule="auto"/>
        <w:tabs>
          <w:tab w:leader="none" w:pos="19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February 24, 2017</w:t>
      </w:r>
      <w:r>
        <w:rPr>
          <w:sz w:val="20"/>
          <w:szCs w:val="20"/>
          <w:color w:val="auto"/>
        </w:rPr>
        <w:tab/>
      </w:r>
      <w:r>
        <w:rPr>
          <w:rFonts w:ascii="Times New Roman" w:cs="Times New Roman" w:eastAsia="Times New Roman" w:hAnsi="Times New Roman"/>
          <w:sz w:val="17"/>
          <w:szCs w:val="17"/>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12884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Stephen A. Wynn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739" w:right="2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Cootey, certify that:</w:t>
      </w:r>
    </w:p>
    <w:p>
      <w:pPr>
        <w:spacing w:after="0" w:line="171" w:lineRule="exact"/>
        <w:rPr>
          <w:sz w:val="20"/>
          <w:szCs w:val="20"/>
          <w:color w:val="auto"/>
        </w:rPr>
      </w:pPr>
    </w:p>
    <w:p>
      <w:pPr>
        <w:ind w:left="980" w:hanging="972"/>
        <w:spacing w:after="0"/>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171" w:lineRule="exact"/>
        <w:rPr>
          <w:rFonts w:ascii="Times New Roman" w:cs="Times New Roman" w:eastAsia="Times New Roman" w:hAnsi="Times New Roman"/>
          <w:sz w:val="18"/>
          <w:szCs w:val="18"/>
          <w:color w:val="auto"/>
        </w:rPr>
      </w:pPr>
    </w:p>
    <w:p>
      <w:pPr>
        <w:ind w:left="980" w:right="40" w:hanging="972"/>
        <w:spacing w:after="0" w:line="266"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972"/>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972"/>
        <w:spacing w:after="0" w:line="276" w:lineRule="auto"/>
        <w:tabs>
          <w:tab w:leader="none" w:pos="9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980"/>
        <w:spacing w:after="0" w:line="289" w:lineRule="auto"/>
        <w:tabs>
          <w:tab w:leader="none" w:pos="19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04" w:lineRule="exact"/>
        <w:rPr>
          <w:rFonts w:ascii="Times New Roman" w:cs="Times New Roman" w:eastAsia="Times New Roman" w:hAnsi="Times New Roman"/>
          <w:sz w:val="17"/>
          <w:szCs w:val="17"/>
          <w:color w:val="auto"/>
        </w:rPr>
      </w:pPr>
    </w:p>
    <w:p>
      <w:pPr>
        <w:ind w:left="1960" w:right="20" w:hanging="980"/>
        <w:spacing w:after="0" w:line="266"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40" w:hanging="980"/>
        <w:spacing w:after="0" w:line="266"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972"/>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960" w:right="80" w:hanging="980"/>
        <w:spacing w:after="0" w:line="313" w:lineRule="auto"/>
        <w:tabs>
          <w:tab w:leader="none" w:pos="196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60" w:hanging="980"/>
        <w:spacing w:after="0" w:line="282" w:lineRule="auto"/>
        <w:tabs>
          <w:tab w:leader="none" w:pos="19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February 24, 2017</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1149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Wynn Resorts, Limited (the “Company”) for the year ended December 31, 2016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his knowledge:</w:t>
      </w:r>
    </w:p>
    <w:p>
      <w:pPr>
        <w:spacing w:after="0" w:line="126" w:lineRule="exact"/>
        <w:rPr>
          <w:sz w:val="20"/>
          <w:szCs w:val="20"/>
          <w:color w:val="auto"/>
        </w:rPr>
      </w:pPr>
    </w:p>
    <w:p>
      <w:pPr>
        <w:ind w:left="980" w:hanging="972"/>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right="780" w:hanging="972"/>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2349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Stephen A. Wynn</w:t>
      </w:r>
    </w:p>
    <w:p>
      <w:pPr>
        <w:spacing w:after="0" w:line="77"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24, 2017</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2349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Stephen Cootey</w:t>
      </w:r>
    </w:p>
    <w:p>
      <w:pPr>
        <w:spacing w:after="0" w:line="77"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Chief Financial Officer and Treasurer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February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1)"/>
      <w:numFmt w:val="decimal"/>
      <w:start w:val="3"/>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lowerRoman"/>
      <w:start w:val="2"/>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
    </w:lvl>
  </w:abstractNum>
  <w:abstractNum w:abstractNumId="32">
    <w:nsid w:val="1CF10FD8"/>
    <w:multiLevelType w:val="hybridMultilevel"/>
    <w:lvl w:ilvl="0">
      <w:lvlJc w:val="left"/>
      <w:lvlText w:val="(%1)"/>
      <w:numFmt w:val="decimal"/>
      <w:start w:val="2"/>
    </w:lvl>
  </w:abstractNum>
  <w:abstractNum w:abstractNumId="33">
    <w:nsid w:val="180115BE"/>
    <w:multiLevelType w:val="hybridMultilevel"/>
    <w:lvl w:ilvl="0">
      <w:lvlJc w:val="left"/>
      <w:lvlText w:val="(%1)"/>
      <w:numFmt w:val="decimal"/>
      <w:start w:val="3"/>
    </w:lvl>
  </w:abstractNum>
  <w:abstractNum w:abstractNumId="34">
    <w:nsid w:val="235BA861"/>
    <w:multiLevelType w:val="hybridMultilevel"/>
    <w:lvl w:ilvl="0">
      <w:lvlJc w:val="left"/>
      <w:lvlText w:val="(%1)"/>
      <w:numFmt w:val="decimal"/>
      <w:start w:val="3"/>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lowerLetter"/>
      <w:start w:val="1"/>
    </w:lvl>
  </w:abstractNum>
  <w:abstractNum w:abstractNumId="37">
    <w:nsid w:val="15B5AF5C"/>
    <w:multiLevelType w:val="hybridMultilevel"/>
    <w:lvl w:ilvl="0">
      <w:lvlJc w:val="left"/>
      <w:lvlText w:val="(%1)"/>
      <w:numFmt w:val="lowerLetter"/>
      <w:start w:val="3"/>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lvl w:ilvl="1">
      <w:lvlJc w:val="left"/>
      <w:lvlText w:val="%2"/>
      <w:numFmt w:val="decimal"/>
      <w:start w:val="10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lowerLetter"/>
      <w:start w:val="4"/>
    </w:lvl>
  </w:abstractNum>
  <w:abstractNum w:abstractNumId="43">
    <w:nsid w:val="7E0C57B1"/>
    <w:multiLevelType w:val="hybridMultilevel"/>
    <w:lvl w:ilvl="0">
      <w:lvlJc w:val="left"/>
      <w:lvlText w:val="(%1)"/>
      <w:numFmt w:val="lowerLetter"/>
      <w:start w:val="1"/>
    </w:lvl>
  </w:abstractNum>
  <w:abstractNum w:abstractNumId="44">
    <w:nsid w:val="77AE35EB"/>
    <w:multiLevelType w:val="hybridMultilevel"/>
    <w:lvl w:ilvl="0">
      <w:lvlJc w:val="left"/>
      <w:lvlText w:val="(%1)"/>
      <w:numFmt w:val="lowerLetter"/>
      <w:start w:val="3"/>
    </w:lvl>
  </w:abstractNum>
  <w:abstractNum w:abstractNumId="45">
    <w:nsid w:val="579BE4F1"/>
    <w:multiLevelType w:val="hybridMultilevel"/>
    <w:lvl w:ilvl="0">
      <w:lvlJc w:val="left"/>
      <w:lvlText w:val="%1"/>
      <w:numFmt w:val="lowerLetter"/>
      <w:start w:val="1"/>
    </w:lvl>
    <w:lvl w:ilvl="1">
      <w:lvlJc w:val="left"/>
      <w:lvlText w:val="(%2)"/>
      <w:numFmt w:val="lowerLetter"/>
      <w:start w:val="1"/>
    </w:lvl>
  </w:abstractNum>
  <w:abstractNum w:abstractNumId="46">
    <w:nsid w:val="310C50B3"/>
    <w:multiLevelType w:val="hybridMultilevel"/>
    <w:lvl w:ilvl="0">
      <w:lvlJc w:val="left"/>
      <w:lvlText w:val="(%1)"/>
      <w:numFmt w:val="lowerLetter"/>
      <w:start w:val="2"/>
    </w:lvl>
    <w:lvl w:ilvl="1">
      <w:lvlJc w:val="left"/>
      <w:lvlText w:val="%2"/>
      <w:numFmt w:val="lowerLetter"/>
      <w:start w:val="1"/>
    </w:lvl>
  </w:abstractNum>
  <w:abstractNum w:abstractNumId="47">
    <w:nsid w:val="5FF87E05"/>
    <w:multiLevelType w:val="hybridMultilevel"/>
    <w:lvl w:ilvl="0">
      <w:lvlJc w:val="left"/>
      <w:lvlText w:val="(%1)"/>
      <w:numFmt w:val="lowerLetter"/>
      <w:start w:val="1"/>
    </w:lvl>
  </w:abstractNum>
  <w:abstractNum w:abstractNumId="48">
    <w:nsid w:val="2F305DEF"/>
    <w:multiLevelType w:val="hybridMultilevel"/>
    <w:lvl w:ilvl="0">
      <w:lvlJc w:val="left"/>
      <w:lvlText w:val="(%1)"/>
      <w:numFmt w:val="lowerLetter"/>
      <w:start w:val="1"/>
    </w:lvl>
  </w:abstractNum>
  <w:abstractNum w:abstractNumId="49">
    <w:nsid w:val="25A70BF7"/>
    <w:multiLevelType w:val="hybridMultilevel"/>
    <w:lvl w:ilvl="0">
      <w:lvlJc w:val="left"/>
      <w:lvlText w:val="(%1)"/>
      <w:numFmt w:val="lowerLetter"/>
      <w:start w:val="3"/>
    </w:lvl>
  </w:abstractNum>
  <w:abstractNum w:abstractNumId="50">
    <w:nsid w:val="1DBABF00"/>
    <w:multiLevelType w:val="hybridMultilevel"/>
    <w:lvl w:ilvl="0">
      <w:lvlJc w:val="left"/>
      <w:lvlText w:val="(%1)"/>
      <w:numFmt w:val="lowerLetter"/>
      <w:start w:val="1"/>
    </w:lvl>
  </w:abstractNum>
  <w:abstractNum w:abstractNumId="51">
    <w:nsid w:val="4AD084E9"/>
    <w:multiLevelType w:val="hybridMultilevel"/>
    <w:lvl w:ilvl="0">
      <w:lvlJc w:val="left"/>
      <w:lvlText w:val="(%1)"/>
      <w:numFmt w:val="lowerLetter"/>
      <w:start w:val="2"/>
    </w:lvl>
  </w:abstractNum>
  <w:abstractNum w:abstractNumId="52">
    <w:nsid w:val="1F48EAA1"/>
    <w:multiLevelType w:val="hybridMultilevel"/>
    <w:lvl w:ilvl="0">
      <w:lvlJc w:val="left"/>
      <w:lvlText w:val="(%1)"/>
      <w:numFmt w:val="lowerLetter"/>
      <w:start w:val="1"/>
    </w:lvl>
  </w:abstractNum>
  <w:abstractNum w:abstractNumId="53">
    <w:nsid w:val="1381823A"/>
    <w:multiLevelType w:val="hybridMultilevel"/>
    <w:lvl w:ilvl="0">
      <w:lvlJc w:val="left"/>
      <w:lvlText w:val="(%1)"/>
      <w:numFmt w:val="lowerLetter"/>
      <w:start w:val="3"/>
    </w:lvl>
  </w:abstractNum>
  <w:abstractNum w:abstractNumId="54">
    <w:nsid w:val="5DB70AE5"/>
    <w:multiLevelType w:val="hybridMultilevel"/>
    <w:lvl w:ilvl="0">
      <w:lvlJc w:val="left"/>
      <w:lvlText w:val="(%1)"/>
      <w:numFmt w:val="lowerLetter"/>
      <w:start w:val="1"/>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1"/>
    </w:lvl>
  </w:abstractNum>
  <w:abstractNum w:abstractNumId="57">
    <w:nsid w:val="15014ACB"/>
    <w:multiLevelType w:val="hybridMultilevel"/>
    <w:lvl w:ilvl="0">
      <w:lvlJc w:val="left"/>
      <w:lvlText w:val="(%1)"/>
      <w:numFmt w:val="lowerLetter"/>
      <w:start w:val="2"/>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1"/>
    </w:lvl>
  </w:abstractNum>
  <w:abstractNum w:abstractNumId="60">
    <w:nsid w:val="799D0247"/>
    <w:multiLevelType w:val="hybridMultilevel"/>
    <w:lvl w:ilvl="0">
      <w:lvlJc w:val="left"/>
      <w:lvlText w:val="(%1)"/>
      <w:numFmt w:val="lowerLetter"/>
      <w:start w:val="1"/>
    </w:lvl>
  </w:abstractNum>
  <w:abstractNum w:abstractNumId="61">
    <w:nsid w:val="6B94764"/>
    <w:multiLevelType w:val="hybridMultilevel"/>
    <w:lvl w:ilvl="0">
      <w:lvlJc w:val="left"/>
      <w:lvlText w:val="(%1)"/>
      <w:numFmt w:val="lowerLetter"/>
      <w:start w:val="1"/>
    </w:lvl>
    <w:lvl w:ilvl="1">
      <w:lvlJc w:val="left"/>
      <w:lvlText w:val="(%2)"/>
      <w:numFmt w:val="lowerRoman"/>
      <w:start w:val="1"/>
    </w:lvl>
  </w:abstractNum>
  <w:abstractNum w:abstractNumId="62">
    <w:nsid w:val="42C296BD"/>
    <w:multiLevelType w:val="hybridMultilevel"/>
    <w:lvl w:ilvl="0">
      <w:lvlJc w:val="left"/>
      <w:lvlText w:val="(%1)"/>
      <w:numFmt w:val="lowerLetter"/>
      <w:start w:val="3"/>
    </w:lvl>
  </w:abstractNum>
  <w:abstractNum w:abstractNumId="63">
    <w:nsid w:val="168E121F"/>
    <w:multiLevelType w:val="hybridMultilevel"/>
    <w:lvl w:ilvl="0">
      <w:lvlJc w:val="left"/>
      <w:lvlText w:val="(%1)"/>
      <w:numFmt w:val="lowerLetter"/>
      <w:start w:val="1"/>
    </w:lvl>
  </w:abstractNum>
  <w:abstractNum w:abstractNumId="64">
    <w:nsid w:val="1EBA5D23"/>
    <w:multiLevelType w:val="hybridMultilevel"/>
    <w:lvl w:ilvl="0">
      <w:lvlJc w:val="left"/>
      <w:lvlText w:val="(%1)"/>
      <w:numFmt w:val="lowerLetter"/>
      <w:start w:val="5"/>
    </w:lvl>
  </w:abstractNum>
  <w:abstractNum w:abstractNumId="65">
    <w:nsid w:val="661E3F1E"/>
    <w:multiLevelType w:val="hybridMultilevel"/>
    <w:lvl w:ilvl="0">
      <w:lvlJc w:val="left"/>
      <w:lvlText w:val="(%1)"/>
      <w:numFmt w:val="lowerLetter"/>
      <w:start w:val="1"/>
    </w:lvl>
  </w:abstractNum>
  <w:abstractNum w:abstractNumId="66">
    <w:nsid w:val="5DC79EA8"/>
    <w:multiLevelType w:val="hybridMultilevel"/>
    <w:lvl w:ilvl="0">
      <w:lvlJc w:val="left"/>
      <w:lvlText w:val="(%1)"/>
      <w:numFmt w:val="lowerLetter"/>
      <w:start w:val="1"/>
    </w:lvl>
  </w:abstractNum>
  <w:abstractNum w:abstractNumId="67">
    <w:nsid w:val="540A471C"/>
    <w:multiLevelType w:val="hybridMultilevel"/>
    <w:lvl w:ilvl="0">
      <w:lvlJc w:val="left"/>
      <w:lvlText w:val="(%1)"/>
      <w:numFmt w:val="lowerLetter"/>
      <w:start w:val="7"/>
    </w:lvl>
  </w:abstractNum>
  <w:abstractNum w:abstractNumId="68">
    <w:nsid w:val="7BD3EE7B"/>
    <w:multiLevelType w:val="hybridMultilevel"/>
    <w:lvl w:ilvl="0">
      <w:lvlJc w:val="left"/>
      <w:lvlText w:val="(%1)"/>
      <w:numFmt w:val="lowerLetter"/>
      <w:start w:val="9"/>
    </w:lvl>
  </w:abstractNum>
  <w:abstractNum w:abstractNumId="69">
    <w:nsid w:val="51D9C564"/>
    <w:multiLevelType w:val="hybridMultilevel"/>
    <w:lvl w:ilvl="0">
      <w:lvlJc w:val="left"/>
      <w:lvlText w:val="(%1)"/>
      <w:numFmt w:val="lowerLetter"/>
      <w:start w:val="1"/>
    </w:lvl>
    <w:lvl w:ilvl="1">
      <w:lvlJc w:val="left"/>
      <w:lvlText w:val="(%2)"/>
      <w:numFmt w:val="lowerLetter"/>
      <w:start w:val="9"/>
    </w:lvl>
  </w:abstractNum>
  <w:abstractNum w:abstractNumId="70">
    <w:nsid w:val="613EFDC5"/>
    <w:multiLevelType w:val="hybridMultilevel"/>
    <w:lvl w:ilvl="0">
      <w:lvlJc w:val="left"/>
      <w:lvlText w:val="%1"/>
      <w:numFmt w:val="lowerLetter"/>
      <w:start w:val="1"/>
    </w:lvl>
    <w:lvl w:ilvl="1">
      <w:lvlJc w:val="left"/>
      <w:lvlText w:val="(%2)"/>
      <w:numFmt w:val="lowerRoman"/>
      <w:start w:val="2"/>
    </w:lvl>
  </w:abstractNum>
  <w:abstractNum w:abstractNumId="71">
    <w:nsid w:val="BF72B14"/>
    <w:multiLevelType w:val="hybridMultilevel"/>
    <w:lvl w:ilvl="0">
      <w:lvlJc w:val="left"/>
      <w:lvlText w:val="(%1)"/>
      <w:numFmt w:val="lowerLetter"/>
      <w:start w:val="3"/>
    </w:lvl>
    <w:lvl w:ilvl="1">
      <w:lvlJc w:val="left"/>
      <w:lvlText w:val="(%2)"/>
      <w:numFmt w:val="lowerRoman"/>
      <w:start w:val="1"/>
    </w:lvl>
  </w:abstractNum>
  <w:abstractNum w:abstractNumId="72">
    <w:nsid w:val="11447B73"/>
    <w:multiLevelType w:val="hybridMultilevel"/>
    <w:lvl w:ilvl="0">
      <w:lvlJc w:val="left"/>
      <w:lvlText w:val="(%1)"/>
      <w:numFmt w:val="lowerLetter"/>
      <w:start w:val="5"/>
    </w:lvl>
  </w:abstractNum>
  <w:abstractNum w:abstractNumId="73">
    <w:nsid w:val="42963E5A"/>
    <w:multiLevelType w:val="hybridMultilevel"/>
    <w:lvl w:ilvl="0">
      <w:lvlJc w:val="left"/>
      <w:lvlText w:val="(%1)"/>
      <w:numFmt w:val="lowerLetter"/>
      <w:start w:val="8"/>
    </w:lvl>
  </w:abstractNum>
  <w:abstractNum w:abstractNumId="74">
    <w:nsid w:val="A0382C5"/>
    <w:multiLevelType w:val="hybridMultilevel"/>
    <w:lvl w:ilvl="0">
      <w:lvlJc w:val="left"/>
      <w:lvlText w:val="%1."/>
      <w:numFmt w:val="upperLetter"/>
      <w:start w:val="1"/>
    </w:lvl>
  </w:abstractNum>
  <w:abstractNum w:abstractNumId="75">
    <w:nsid w:val="8F2B15E"/>
    <w:multiLevelType w:val="hybridMultilevel"/>
    <w:lvl w:ilvl="0">
      <w:lvlJc w:val="left"/>
      <w:lvlText w:val="%1."/>
      <w:numFmt w:val="decimal"/>
      <w:start w:val="1"/>
    </w:lvl>
    <w:lvl w:ilvl="1">
      <w:lvlJc w:val="left"/>
      <w:lvlText w:val="(%2)"/>
      <w:numFmt w:val="lowerLetter"/>
      <w:start w:val="1"/>
    </w:lvl>
  </w:abstractNum>
  <w:abstractNum w:abstractNumId="76">
    <w:nsid w:val="1A32234B"/>
    <w:multiLevelType w:val="hybridMultilevel"/>
    <w:lvl w:ilvl="0">
      <w:lvlJc w:val="left"/>
      <w:lvlText w:val="%1"/>
      <w:numFmt w:val="decimal"/>
      <w:start w:val="1"/>
    </w:lvl>
    <w:lvl w:ilvl="1">
      <w:lvlJc w:val="left"/>
      <w:lvlText w:val="(%2)"/>
      <w:numFmt w:val="lowerLetter"/>
      <w:start w:val="2"/>
    </w:lvl>
  </w:abstractNum>
  <w:abstractNum w:abstractNumId="77">
    <w:nsid w:val="3B0FD379"/>
    <w:multiLevelType w:val="hybridMultilevel"/>
    <w:lvl w:ilvl="0">
      <w:lvlJc w:val="left"/>
      <w:lvlText w:val="%1."/>
      <w:numFmt w:val="decimal"/>
      <w:start w:val="4"/>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2019-12-29T09:47:17Z</dcterms:created>
  <dcterms:modified xsi:type="dcterms:W3CDTF">2019-12-29T09:47:17Z</dcterms:modified>
</cp:coreProperties>
</file>